
<file path=[Content_Types].xml><?xml version="1.0" encoding="utf-8"?>
<Types xmlns="http://schemas.openxmlformats.org/package/2006/content-types">
  <Default ContentType="image/png" Extension="png"/>
  <Default ContentType="application/vnd.openxmlformats-package.relationships+xml" Extension="rels"/>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简体" w:hAnsi="方正黑体简体" w:eastAsia="方正黑体简体" w:cs="方正黑体简体"/>
          <w:b w:val="0"/>
          <w:bCs w:val="0"/>
        </w:rPr>
      </w:pPr>
    </w:p>
    <w:p>
      <w:pPr>
        <w:jc w:val="center"/>
        <w:rPr>
          <w:rFonts w:hint="eastAsia" w:ascii="方正黑体简体" w:hAnsi="方正黑体简体" w:eastAsia="方正黑体简体" w:cs="方正黑体简体"/>
          <w:b w:val="0"/>
          <w:bCs w:val="0"/>
        </w:rPr>
      </w:pPr>
      <w:r>
        <w:rPr>
          <w:rFonts w:hint="eastAsia" w:ascii="方正黑体简体" w:hAnsi="方正黑体简体" w:eastAsia="方正黑体简体" w:cs="方正黑体简体"/>
          <w:b w:val="0"/>
          <w:bCs w:val="0"/>
          <w:sz w:val="44"/>
          <w:szCs w:val="44"/>
        </w:rPr>
        <w:t>湖南科技学院本科教学质量报告</w:t>
      </w:r>
    </w:p>
    <w:p>
      <w:pPr>
        <w:jc w:val="center"/>
        <w:rPr>
          <w:rFonts w:hint="eastAsia" w:ascii="方正黑体简体" w:hAnsi="方正黑体简体" w:eastAsia="方正黑体简体" w:cs="方正黑体简体"/>
          <w:b w:val="0"/>
          <w:bCs w:val="0"/>
        </w:rPr>
      </w:pPr>
      <w:r>
        <w:rPr>
          <w:rFonts w:hint="eastAsia" w:ascii="方正黑体简体" w:hAnsi="方正黑体简体" w:eastAsia="方正黑体简体" w:cs="方正黑体简体"/>
          <w:b w:val="0"/>
          <w:bCs w:val="0"/>
          <w:sz w:val="32"/>
          <w:szCs w:val="32"/>
        </w:rPr>
        <w:t>（2017-2018学年）</w:t>
      </w:r>
    </w:p>
    <w:p>
      <w:pPr>
        <w:jc w:val="center"/>
        <w:rPr>
          <w:rFonts w:hint="eastAsia" w:ascii="方正黑体简体" w:hAnsi="方正黑体简体" w:eastAsia="方正黑体简体" w:cs="方正黑体简体"/>
          <w:b w:val="0"/>
          <w:bCs w:val="0"/>
        </w:rPr>
      </w:pPr>
    </w:p>
    <w:p>
      <w:pPr>
        <w:jc w:val="center"/>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学校概况</w:t>
      </w:r>
    </w:p>
    <w:p>
      <w:pPr>
        <w:spacing w:line="400" w:lineRule="exact"/>
        <w:ind w:firstLine="480" w:firstLineChars="200"/>
        <w:jc w:val="left"/>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湖南科技学院是一所经教育部批准，由湖南省教育厅主管的公办全日制普通本科院校。学校办学始于1941年，前身为湖南省立第七师范学校，2002年由原零陵师专升格为本科院校，定名零陵学院，2004年更名为湖南科技学院。经过70余年的建设和发展，现已成为一所综合性应用型本科院校。</w:t>
      </w:r>
    </w:p>
    <w:p>
      <w:pPr>
        <w:spacing w:line="400" w:lineRule="exact"/>
        <w:ind w:firstLine="480" w:firstLineChars="200"/>
        <w:jc w:val="left"/>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学校坐落在中国二十强幸福城市、</w:t>
      </w:r>
      <w:r>
        <w:rPr>
          <w:rFonts w:hint="eastAsia" w:ascii="方正书宋简体" w:hAnsi="方正书宋简体" w:eastAsia="方正书宋简体" w:cs="方正书宋简体"/>
          <w:sz w:val="24"/>
          <w:szCs w:val="24"/>
          <w:lang w:val="en-US" w:eastAsia="zh-CN"/>
        </w:rPr>
        <w:t>国家</w:t>
      </w:r>
      <w:bookmarkStart w:id="55" w:name="_GoBack"/>
      <w:bookmarkEnd w:id="55"/>
      <w:r>
        <w:rPr>
          <w:rFonts w:hint="eastAsia" w:ascii="方正书宋简体" w:hAnsi="方正书宋简体" w:eastAsia="方正书宋简体" w:cs="方正书宋简体"/>
          <w:sz w:val="24"/>
          <w:szCs w:val="24"/>
        </w:rPr>
        <w:t>历史文化名城——永州市。永州又名零陵。永州境内潇湘二水纵贯南北，五岭山脉横亘东西，湘桂高铁、洛湛铁路、泉南高速、二广高速、厦蓉高速纵横交错，零陵机场开通北京、上海、昆明、深圳等多条航线，风景秀丽，人杰地灵，交通便利。这里是舜帝道德文化、濂溪理学文化、瑶文化、女书文化发祥地，孕育了柳宗元、怀素、周敦颐、何绍基、李达、陶铸等文化名人。由于文化底蕴深厚，被誉为“一本读不完的书”。</w:t>
      </w:r>
    </w:p>
    <w:p>
      <w:pPr>
        <w:spacing w:line="400" w:lineRule="exact"/>
        <w:ind w:firstLine="480" w:firstLineChars="200"/>
        <w:jc w:val="left"/>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建有15个教学学院，46个普通本科专业，面向全国27个省（市、区）招生。现有全日制在校学生15048人，函授学生2360人。现有教职员工1153人，专任教师792人，其中具有教授、副教授职称309人，具有博士、硕士学位706人，入选国务院政府特殊津贴、湖南省政府特殊津贴、湖南省“121人才”工程人选、省级学科带头人、“湖湘青年英才”支持计划、省级青年骨干教师70余人。我校优秀校友中国工程院欧阳晓平院士被聘为荣誉校长。学校占地面积72.01万平方米，建筑面积45万平方米，教学仪器设备总值1.6亿元，纸本图书110万册，固定资产总值8.39亿元。</w:t>
      </w:r>
    </w:p>
    <w:p>
      <w:pPr>
        <w:spacing w:line="400" w:lineRule="exact"/>
        <w:ind w:firstLine="480" w:firstLineChars="200"/>
        <w:jc w:val="left"/>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现有2个湖南省“双一流”建设应用特色学科、2个“十二五”省级综合改革试点专业、3个“十三五”省级综合改革试点专业、1个省级重点实验室、1个省级工程实验室、1个省级工程技术研究中心、1个省科技创新团队、1个省高校产学研合作示范基地、12个省级研究基地、2个省级学会、3个省级优秀教学团队、24个校级科研机构。近五年，全校教师共获得省部级以上科研项目370余项，其中国家自科基金项目14项、国家社科基金和教育部项目23项，获省级以上科研奖励20余项，其中国家级教学成果奖一等奖1项。近年来，全校教师发表学术论文5000余篇，其中被三大检索收录320余篇，出版著作、教材260余部。《湖南科技学院学报》被评为“中国人文社科学报核心期刊”、“全国百强社科学报”，柳宗元研究栏目被评为“全国社科学报特色栏目”。学校广泛开展国际交流与合作，已与美国、德国、英国、白俄罗斯、韩国、日本、马来西亚等31所国（境）外高校开展教育合作，8位外籍专家在校任教。</w:t>
      </w:r>
    </w:p>
    <w:p>
      <w:pPr>
        <w:spacing w:line="400" w:lineRule="exact"/>
        <w:ind w:firstLine="480" w:firstLineChars="200"/>
        <w:jc w:val="left"/>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坚持“地方性、应用型、有特色”的办学定位，秉承“德才兼备、自强不息”的校训精神，遵循“精品意识、精英人才、精心育人、精细管理、精励校风、精美校园”的战略布局，努力培养适应区域经济社会发展的应用型人才。学校教学质量和人才培养质量不断提高，毕业生就业率长期保持在92%以上。学校荣获全国普通高等学校优秀教学成果奖、全国普通高等学校教学管理工作先进单位、全国毕业生就业典型经验高校、全国五四红旗团委、全国高等院校后勤工作先进集体、湖南省大学生就业创业优秀示范校、湖南省高等学校党建和思想政治工作先进单位、湖南省思想政治工作先进单位等称号。70多年来，学校为国家培养各类人才9万余名。历届校友辛勤工作，勇于创新，为国家建设和社会发展作出了积极贡献。</w:t>
      </w:r>
    </w:p>
    <w:p>
      <w:r>
        <w:br w:type="page"/>
      </w:r>
    </w:p>
    <w:p>
      <w:pPr>
        <w:keepNext w:val="0"/>
        <w:keepLines w:val="0"/>
        <w:pageBreakBefore w:val="0"/>
        <w:widowControl w:val="0"/>
        <w:kinsoku/>
        <w:wordWrap/>
        <w:overflowPunct/>
        <w:topLinePunct w:val="0"/>
        <w:autoSpaceDE/>
        <w:autoSpaceDN/>
        <w:bidi w:val="0"/>
        <w:adjustRightInd/>
        <w:snapToGrid/>
        <w:spacing w:after="318" w:afterLines="100"/>
        <w:jc w:val="center"/>
        <w:textAlignment w:val="auto"/>
        <w:rPr>
          <w:sz w:val="44"/>
          <w:szCs w:val="44"/>
        </w:rPr>
      </w:pPr>
      <w:r>
        <w:rPr>
          <w:rFonts w:ascii="黑体" w:hAnsi="黑体" w:eastAsia="黑体"/>
          <w:sz w:val="44"/>
          <w:szCs w:val="44"/>
          <w:lang w:val="zh-CN"/>
        </w:rPr>
        <w:t>目</w:t>
      </w:r>
      <w:r>
        <w:rPr>
          <w:rFonts w:hint="eastAsia" w:ascii="黑体" w:hAnsi="黑体" w:eastAsia="黑体"/>
          <w:sz w:val="44"/>
          <w:szCs w:val="44"/>
          <w:lang w:val="en-US" w:eastAsia="zh-CN"/>
        </w:rPr>
        <w:t xml:space="preserve">  </w:t>
      </w:r>
      <w:r>
        <w:rPr>
          <w:rFonts w:ascii="黑体" w:hAnsi="黑体" w:eastAsia="黑体"/>
          <w:sz w:val="44"/>
          <w:szCs w:val="44"/>
          <w:lang w:val="zh-CN"/>
        </w:rPr>
        <w:t>录</w:t>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TOC \o "1-3" \h \z \u </w:instrText>
      </w:r>
      <w:r>
        <w:rPr>
          <w:sz w:val="24"/>
          <w:szCs w:val="24"/>
        </w:rPr>
        <w:fldChar w:fldCharType="separate"/>
      </w:r>
      <w:r>
        <w:rPr>
          <w:sz w:val="24"/>
          <w:szCs w:val="24"/>
        </w:rPr>
        <w:fldChar w:fldCharType="begin"/>
      </w:r>
      <w:r>
        <w:rPr>
          <w:sz w:val="24"/>
          <w:szCs w:val="24"/>
        </w:rPr>
        <w:instrText xml:space="preserve"> HYPERLINK \l "_Toc531937755" </w:instrText>
      </w:r>
      <w:r>
        <w:rPr>
          <w:sz w:val="24"/>
          <w:szCs w:val="24"/>
        </w:rPr>
        <w:fldChar w:fldCharType="separate"/>
      </w:r>
      <w:r>
        <w:rPr>
          <w:rStyle w:val="12"/>
          <w:rFonts w:hint="eastAsia" w:ascii="黑体" w:hAnsi="黑体" w:eastAsia="黑体"/>
          <w:sz w:val="24"/>
          <w:szCs w:val="24"/>
        </w:rPr>
        <w:t>一、本科教育基本情况</w:t>
      </w:r>
      <w:r>
        <w:rPr>
          <w:sz w:val="24"/>
          <w:szCs w:val="24"/>
        </w:rPr>
        <w:tab/>
      </w:r>
      <w:r>
        <w:rPr>
          <w:sz w:val="24"/>
          <w:szCs w:val="24"/>
        </w:rPr>
        <w:fldChar w:fldCharType="begin"/>
      </w:r>
      <w:r>
        <w:rPr>
          <w:sz w:val="24"/>
          <w:szCs w:val="24"/>
        </w:rPr>
        <w:instrText xml:space="preserve"> PAGEREF _Toc531937755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"_Toc531937756" </w:instrText>
      </w:r>
      <w:r>
        <w:rPr>
          <w:sz w:val="24"/>
          <w:szCs w:val="24"/>
        </w:rPr>
        <w:fldChar w:fldCharType="separate"/>
      </w:r>
      <w:r>
        <w:rPr>
          <w:rStyle w:val="12"/>
          <w:rFonts w:hint="eastAsia" w:ascii="黑体" w:hAnsi="黑体" w:eastAsia="黑体"/>
          <w:sz w:val="24"/>
          <w:szCs w:val="24"/>
        </w:rPr>
        <w:t>（一）发展目标定位</w:t>
      </w:r>
      <w:r>
        <w:rPr>
          <w:sz w:val="24"/>
          <w:szCs w:val="24"/>
        </w:rPr>
        <w:tab/>
      </w:r>
      <w:r>
        <w:rPr>
          <w:sz w:val="24"/>
          <w:szCs w:val="24"/>
        </w:rPr>
        <w:fldChar w:fldCharType="begin"/>
      </w:r>
      <w:r>
        <w:rPr>
          <w:sz w:val="24"/>
          <w:szCs w:val="24"/>
        </w:rPr>
        <w:instrText xml:space="preserve"> PAGEREF _Toc531937756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"_Toc531937757" </w:instrText>
      </w:r>
      <w:r>
        <w:rPr>
          <w:sz w:val="24"/>
          <w:szCs w:val="24"/>
        </w:rPr>
        <w:fldChar w:fldCharType="separate"/>
      </w:r>
      <w:r>
        <w:rPr>
          <w:rStyle w:val="12"/>
          <w:rFonts w:hint="eastAsia" w:ascii="黑体" w:hAnsi="黑体" w:eastAsia="黑体"/>
          <w:sz w:val="24"/>
          <w:szCs w:val="24"/>
        </w:rPr>
        <w:t>（二）学科专业设置情况</w:t>
      </w:r>
      <w:r>
        <w:rPr>
          <w:sz w:val="24"/>
          <w:szCs w:val="24"/>
        </w:rPr>
        <w:tab/>
      </w:r>
      <w:r>
        <w:rPr>
          <w:sz w:val="24"/>
          <w:szCs w:val="24"/>
        </w:rPr>
        <w:fldChar w:fldCharType="begin"/>
      </w:r>
      <w:r>
        <w:rPr>
          <w:sz w:val="24"/>
          <w:szCs w:val="24"/>
        </w:rPr>
        <w:instrText xml:space="preserve"> PAGEREF _Toc531937757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"_Toc531937758" </w:instrText>
      </w:r>
      <w:r>
        <w:rPr>
          <w:sz w:val="24"/>
          <w:szCs w:val="24"/>
        </w:rPr>
        <w:fldChar w:fldCharType="separate"/>
      </w:r>
      <w:r>
        <w:rPr>
          <w:rStyle w:val="12"/>
          <w:rFonts w:hint="eastAsia" w:ascii="黑体" w:hAnsi="黑体" w:eastAsia="黑体"/>
          <w:sz w:val="24"/>
          <w:szCs w:val="24"/>
        </w:rPr>
        <w:t>（三）在校生规模</w:t>
      </w:r>
      <w:r>
        <w:rPr>
          <w:sz w:val="24"/>
          <w:szCs w:val="24"/>
        </w:rPr>
        <w:tab/>
      </w:r>
      <w:r>
        <w:rPr>
          <w:sz w:val="24"/>
          <w:szCs w:val="24"/>
        </w:rPr>
        <w:fldChar w:fldCharType="begin"/>
      </w:r>
      <w:r>
        <w:rPr>
          <w:sz w:val="24"/>
          <w:szCs w:val="24"/>
        </w:rPr>
        <w:instrText xml:space="preserve"> PAGEREF _Toc531937758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"_Toc531937759" </w:instrText>
      </w:r>
      <w:r>
        <w:rPr>
          <w:sz w:val="24"/>
          <w:szCs w:val="24"/>
        </w:rPr>
        <w:fldChar w:fldCharType="separate"/>
      </w:r>
      <w:r>
        <w:rPr>
          <w:rStyle w:val="12"/>
          <w:rFonts w:hint="eastAsia" w:ascii="黑体" w:hAnsi="黑体" w:eastAsia="黑体"/>
          <w:sz w:val="24"/>
          <w:szCs w:val="24"/>
        </w:rPr>
        <w:t>（四）本科生生源质量</w:t>
      </w:r>
      <w:r>
        <w:rPr>
          <w:sz w:val="24"/>
          <w:szCs w:val="24"/>
        </w:rPr>
        <w:tab/>
      </w:r>
      <w:r>
        <w:rPr>
          <w:sz w:val="24"/>
          <w:szCs w:val="24"/>
        </w:rPr>
        <w:fldChar w:fldCharType="begin"/>
      </w:r>
      <w:r>
        <w:rPr>
          <w:sz w:val="24"/>
          <w:szCs w:val="24"/>
        </w:rPr>
        <w:instrText xml:space="preserve"> PAGEREF _Toc531937759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8"/>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"_Toc531937760" </w:instrText>
      </w:r>
      <w:r>
        <w:rPr>
          <w:sz w:val="24"/>
          <w:szCs w:val="24"/>
        </w:rPr>
        <w:fldChar w:fldCharType="separate"/>
      </w:r>
      <w:r>
        <w:rPr>
          <w:rStyle w:val="12"/>
          <w:rFonts w:hint="eastAsia" w:ascii="黑体" w:hAnsi="黑体" w:eastAsia="黑体"/>
          <w:sz w:val="24"/>
          <w:szCs w:val="24"/>
        </w:rPr>
        <w:t>二、师资与教学条件</w:t>
      </w:r>
      <w:r>
        <w:rPr>
          <w:sz w:val="24"/>
          <w:szCs w:val="24"/>
        </w:rPr>
        <w:tab/>
      </w:r>
      <w:r>
        <w:rPr>
          <w:rFonts w:hint="eastAsia"/>
          <w:sz w:val="24"/>
          <w:szCs w:val="24"/>
          <w:lang w:val="en-US" w:eastAsia="zh-CN"/>
        </w:rPr>
        <w:t>4</w:t>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"_Toc531937761" </w:instrText>
      </w:r>
      <w:r>
        <w:rPr>
          <w:sz w:val="24"/>
          <w:szCs w:val="24"/>
        </w:rPr>
        <w:fldChar w:fldCharType="separate"/>
      </w:r>
      <w:r>
        <w:rPr>
          <w:rStyle w:val="12"/>
          <w:rFonts w:hint="eastAsia" w:ascii="黑体" w:hAnsi="黑体" w:eastAsia="黑体"/>
          <w:sz w:val="24"/>
          <w:szCs w:val="24"/>
        </w:rPr>
        <w:t>（一）师资队伍</w:t>
      </w:r>
      <w:r>
        <w:rPr>
          <w:sz w:val="24"/>
          <w:szCs w:val="24"/>
        </w:rPr>
        <w:tab/>
      </w:r>
      <w:r>
        <w:rPr>
          <w:sz w:val="24"/>
          <w:szCs w:val="24"/>
        </w:rPr>
        <w:fldChar w:fldCharType="begin"/>
      </w:r>
      <w:r>
        <w:rPr>
          <w:sz w:val="24"/>
          <w:szCs w:val="24"/>
        </w:rPr>
        <w:instrText xml:space="preserve"> PAGEREF _Toc531937761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"_Toc531937762" </w:instrText>
      </w:r>
      <w:r>
        <w:rPr>
          <w:sz w:val="24"/>
          <w:szCs w:val="24"/>
        </w:rPr>
        <w:fldChar w:fldCharType="separate"/>
      </w:r>
      <w:r>
        <w:rPr>
          <w:rStyle w:val="12"/>
          <w:rFonts w:hint="eastAsia" w:ascii="黑体" w:hAnsi="黑体" w:eastAsia="黑体"/>
          <w:sz w:val="24"/>
          <w:szCs w:val="24"/>
        </w:rPr>
        <w:t>（二）本科主讲教师情况</w:t>
      </w:r>
      <w:r>
        <w:rPr>
          <w:sz w:val="24"/>
          <w:szCs w:val="24"/>
        </w:rPr>
        <w:tab/>
      </w:r>
      <w:r>
        <w:rPr>
          <w:rFonts w:hint="eastAsia"/>
          <w:sz w:val="24"/>
          <w:szCs w:val="24"/>
          <w:lang w:val="en-US" w:eastAsia="zh-CN"/>
        </w:rPr>
        <w:t>7</w:t>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"_Toc531937763" </w:instrText>
      </w:r>
      <w:r>
        <w:rPr>
          <w:sz w:val="24"/>
          <w:szCs w:val="24"/>
        </w:rPr>
        <w:fldChar w:fldCharType="separate"/>
      </w:r>
      <w:r>
        <w:rPr>
          <w:rStyle w:val="12"/>
          <w:rFonts w:hint="eastAsia" w:ascii="黑体" w:hAnsi="黑体" w:eastAsia="黑体"/>
          <w:sz w:val="24"/>
          <w:szCs w:val="24"/>
        </w:rPr>
        <w:t>（三）教学经费投入情况</w:t>
      </w:r>
      <w:r>
        <w:rPr>
          <w:sz w:val="24"/>
          <w:szCs w:val="24"/>
        </w:rPr>
        <w:tab/>
      </w:r>
      <w:r>
        <w:rPr>
          <w:rFonts w:hint="eastAsia"/>
          <w:sz w:val="24"/>
          <w:szCs w:val="24"/>
          <w:lang w:val="en-US" w:eastAsia="zh-CN"/>
        </w:rPr>
        <w:t>9</w:t>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"_Toc531937764" </w:instrText>
      </w:r>
      <w:r>
        <w:rPr>
          <w:sz w:val="24"/>
          <w:szCs w:val="24"/>
        </w:rPr>
        <w:fldChar w:fldCharType="separate"/>
      </w:r>
      <w:r>
        <w:rPr>
          <w:rStyle w:val="12"/>
          <w:rFonts w:hint="eastAsia" w:ascii="黑体" w:hAnsi="黑体" w:eastAsia="黑体"/>
          <w:sz w:val="24"/>
          <w:szCs w:val="24"/>
        </w:rPr>
        <w:t>（四）教学设施应用情况</w:t>
      </w:r>
      <w:r>
        <w:rPr>
          <w:sz w:val="24"/>
          <w:szCs w:val="24"/>
        </w:rPr>
        <w:tab/>
      </w:r>
      <w:r>
        <w:rPr>
          <w:sz w:val="24"/>
          <w:szCs w:val="24"/>
        </w:rPr>
        <w:fldChar w:fldCharType="begin"/>
      </w:r>
      <w:r>
        <w:rPr>
          <w:sz w:val="24"/>
          <w:szCs w:val="24"/>
        </w:rPr>
        <w:instrText xml:space="preserve"> PAGEREF _Toc531937764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8"/>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"_Toc531937769" </w:instrText>
      </w:r>
      <w:r>
        <w:rPr>
          <w:sz w:val="24"/>
          <w:szCs w:val="24"/>
        </w:rPr>
        <w:fldChar w:fldCharType="separate"/>
      </w:r>
      <w:r>
        <w:rPr>
          <w:rStyle w:val="12"/>
          <w:rFonts w:hint="eastAsia" w:ascii="黑体" w:hAnsi="黑体" w:eastAsia="黑体"/>
          <w:sz w:val="24"/>
          <w:szCs w:val="24"/>
        </w:rPr>
        <w:t>三、教学建设与改革</w:t>
      </w:r>
      <w:r>
        <w:rPr>
          <w:sz w:val="24"/>
          <w:szCs w:val="24"/>
        </w:rPr>
        <w:tab/>
      </w:r>
      <w:r>
        <w:rPr>
          <w:sz w:val="24"/>
          <w:szCs w:val="24"/>
        </w:rPr>
        <w:fldChar w:fldCharType="begin"/>
      </w:r>
      <w:r>
        <w:rPr>
          <w:sz w:val="24"/>
          <w:szCs w:val="24"/>
        </w:rPr>
        <w:instrText xml:space="preserve"> PAGEREF _Toc531937769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"_Toc531937770" </w:instrText>
      </w:r>
      <w:r>
        <w:rPr>
          <w:sz w:val="24"/>
          <w:szCs w:val="24"/>
        </w:rPr>
        <w:fldChar w:fldCharType="separate"/>
      </w:r>
      <w:r>
        <w:rPr>
          <w:rStyle w:val="12"/>
          <w:rFonts w:hint="eastAsia" w:ascii="黑体" w:hAnsi="黑体" w:eastAsia="黑体"/>
          <w:sz w:val="24"/>
          <w:szCs w:val="24"/>
        </w:rPr>
        <w:t>（一）专业建设</w:t>
      </w:r>
      <w:r>
        <w:rPr>
          <w:sz w:val="24"/>
          <w:szCs w:val="24"/>
        </w:rPr>
        <w:tab/>
      </w:r>
      <w:r>
        <w:rPr>
          <w:sz w:val="24"/>
          <w:szCs w:val="24"/>
        </w:rPr>
        <w:fldChar w:fldCharType="begin"/>
      </w:r>
      <w:r>
        <w:rPr>
          <w:sz w:val="24"/>
          <w:szCs w:val="24"/>
        </w:rPr>
        <w:instrText xml:space="preserve"> PAGEREF _Toc531937770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sz w:val="24"/>
          <w:szCs w:val="24"/>
        </w:rPr>
        <w:fldChar w:fldCharType="begin"/>
      </w:r>
      <w:r>
        <w:rPr>
          <w:sz w:val="24"/>
          <w:szCs w:val="24"/>
        </w:rPr>
        <w:instrText xml:space="preserve"> HYPERLINK \l "_Toc531937771" </w:instrText>
      </w:r>
      <w:r>
        <w:rPr>
          <w:sz w:val="24"/>
          <w:szCs w:val="24"/>
        </w:rPr>
        <w:fldChar w:fldCharType="separate"/>
      </w:r>
      <w:r>
        <w:rPr>
          <w:rStyle w:val="12"/>
          <w:rFonts w:hint="eastAsia" w:ascii="黑体" w:hAnsi="黑体" w:eastAsia="黑体"/>
          <w:sz w:val="24"/>
          <w:szCs w:val="24"/>
        </w:rPr>
        <w:t>（二）课程建设</w:t>
      </w:r>
      <w:r>
        <w:rPr>
          <w:sz w:val="24"/>
          <w:szCs w:val="24"/>
        </w:rPr>
        <w:tab/>
      </w:r>
      <w:r>
        <w:rPr>
          <w:rFonts w:hint="eastAsia"/>
          <w:sz w:val="24"/>
          <w:szCs w:val="24"/>
          <w:lang w:val="en-US" w:eastAsia="zh-CN"/>
        </w:rPr>
        <w:t>1</w:t>
      </w:r>
      <w:r>
        <w:rPr>
          <w:sz w:val="24"/>
          <w:szCs w:val="24"/>
        </w:rPr>
        <w:fldChar w:fldCharType="end"/>
      </w:r>
      <w:r>
        <w:rPr>
          <w:rFonts w:hint="eastAsia"/>
          <w:sz w:val="24"/>
          <w:szCs w:val="24"/>
          <w:lang w:val="en-US" w:eastAsia="zh-CN"/>
        </w:rPr>
        <w:t>3</w:t>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"_Toc531937772" </w:instrText>
      </w:r>
      <w:r>
        <w:rPr>
          <w:sz w:val="24"/>
          <w:szCs w:val="24"/>
        </w:rPr>
        <w:fldChar w:fldCharType="separate"/>
      </w:r>
      <w:r>
        <w:rPr>
          <w:rStyle w:val="12"/>
          <w:rFonts w:hint="eastAsia" w:ascii="黑体" w:hAnsi="黑体" w:eastAsia="黑体"/>
          <w:sz w:val="24"/>
          <w:szCs w:val="24"/>
        </w:rPr>
        <w:t>（三）教材建设</w:t>
      </w:r>
      <w:r>
        <w:rPr>
          <w:sz w:val="24"/>
          <w:szCs w:val="24"/>
        </w:rPr>
        <w:tab/>
      </w:r>
      <w:r>
        <w:rPr>
          <w:sz w:val="24"/>
          <w:szCs w:val="24"/>
        </w:rPr>
        <w:fldChar w:fldCharType="begin"/>
      </w:r>
      <w:r>
        <w:rPr>
          <w:sz w:val="24"/>
          <w:szCs w:val="24"/>
        </w:rPr>
        <w:instrText xml:space="preserve"> PAGEREF _Toc531937772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"_Toc531937773" </w:instrText>
      </w:r>
      <w:r>
        <w:rPr>
          <w:sz w:val="24"/>
          <w:szCs w:val="24"/>
        </w:rPr>
        <w:fldChar w:fldCharType="separate"/>
      </w:r>
      <w:r>
        <w:rPr>
          <w:rStyle w:val="12"/>
          <w:rFonts w:hint="eastAsia" w:ascii="黑体" w:hAnsi="黑体" w:eastAsia="黑体"/>
          <w:sz w:val="24"/>
          <w:szCs w:val="24"/>
        </w:rPr>
        <w:t>（四）实践教学</w:t>
      </w:r>
      <w:r>
        <w:rPr>
          <w:sz w:val="24"/>
          <w:szCs w:val="24"/>
        </w:rPr>
        <w:tab/>
      </w:r>
      <w:r>
        <w:rPr>
          <w:sz w:val="24"/>
          <w:szCs w:val="24"/>
        </w:rPr>
        <w:fldChar w:fldCharType="begin"/>
      </w:r>
      <w:r>
        <w:rPr>
          <w:sz w:val="24"/>
          <w:szCs w:val="24"/>
        </w:rPr>
        <w:instrText xml:space="preserve"> PAGEREF _Toc531937773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sz w:val="24"/>
          <w:szCs w:val="24"/>
        </w:rPr>
        <w:fldChar w:fldCharType="begin"/>
      </w:r>
      <w:r>
        <w:rPr>
          <w:sz w:val="24"/>
          <w:szCs w:val="24"/>
        </w:rPr>
        <w:instrText xml:space="preserve"> HYPERLINK \l "_Toc531937777" </w:instrText>
      </w:r>
      <w:r>
        <w:rPr>
          <w:sz w:val="24"/>
          <w:szCs w:val="24"/>
        </w:rPr>
        <w:fldChar w:fldCharType="separate"/>
      </w:r>
      <w:r>
        <w:rPr>
          <w:rStyle w:val="12"/>
          <w:rFonts w:hint="eastAsia" w:ascii="黑体" w:hAnsi="黑体" w:eastAsia="黑体"/>
          <w:sz w:val="24"/>
          <w:szCs w:val="24"/>
        </w:rPr>
        <w:t>（五）创新创业教育</w:t>
      </w:r>
      <w:r>
        <w:rPr>
          <w:sz w:val="24"/>
          <w:szCs w:val="24"/>
        </w:rPr>
        <w:tab/>
      </w:r>
      <w:r>
        <w:rPr>
          <w:sz w:val="24"/>
          <w:szCs w:val="24"/>
        </w:rPr>
        <w:fldChar w:fldCharType="begin"/>
      </w:r>
      <w:r>
        <w:rPr>
          <w:sz w:val="24"/>
          <w:szCs w:val="24"/>
        </w:rPr>
        <w:instrText xml:space="preserve"> PAGEREF _Toc531937777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"_Toc531937778" </w:instrText>
      </w:r>
      <w:r>
        <w:rPr>
          <w:sz w:val="24"/>
          <w:szCs w:val="24"/>
        </w:rPr>
        <w:fldChar w:fldCharType="separate"/>
      </w:r>
      <w:r>
        <w:rPr>
          <w:rStyle w:val="12"/>
          <w:rFonts w:hint="eastAsia" w:ascii="黑体" w:hAnsi="黑体" w:eastAsia="黑体"/>
          <w:sz w:val="24"/>
          <w:szCs w:val="24"/>
        </w:rPr>
        <w:t>（六）教学改革</w:t>
      </w:r>
      <w:r>
        <w:rPr>
          <w:sz w:val="24"/>
          <w:szCs w:val="24"/>
        </w:rPr>
        <w:tab/>
      </w:r>
      <w:r>
        <w:rPr>
          <w:sz w:val="24"/>
          <w:szCs w:val="24"/>
        </w:rPr>
        <w:fldChar w:fldCharType="begin"/>
      </w:r>
      <w:r>
        <w:rPr>
          <w:sz w:val="24"/>
          <w:szCs w:val="24"/>
        </w:rPr>
        <w:instrText xml:space="preserve"> PAGEREF _Toc531937778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8"/>
        <w:pageBreakBefore w:val="0"/>
        <w:widowControl w:val="0"/>
        <w:tabs>
          <w:tab w:val="right" w:leader="dot" w:pos="8296"/>
        </w:tabs>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sz w:val="24"/>
          <w:szCs w:val="24"/>
        </w:rPr>
        <w:fldChar w:fldCharType="begin"/>
      </w:r>
      <w:r>
        <w:rPr>
          <w:sz w:val="24"/>
          <w:szCs w:val="24"/>
        </w:rPr>
        <w:instrText xml:space="preserve"> HYPERLINK \l "_Toc531937783" </w:instrText>
      </w:r>
      <w:r>
        <w:rPr>
          <w:sz w:val="24"/>
          <w:szCs w:val="24"/>
        </w:rPr>
        <w:fldChar w:fldCharType="separate"/>
      </w:r>
      <w:r>
        <w:rPr>
          <w:rStyle w:val="12"/>
          <w:rFonts w:hint="eastAsia" w:ascii="黑体" w:hAnsi="黑体" w:eastAsia="黑体"/>
          <w:sz w:val="24"/>
          <w:szCs w:val="24"/>
        </w:rPr>
        <w:t>四、质量保障</w:t>
      </w:r>
      <w:r>
        <w:rPr>
          <w:sz w:val="24"/>
          <w:szCs w:val="24"/>
        </w:rPr>
        <w:tab/>
      </w:r>
      <w:r>
        <w:rPr>
          <w:sz w:val="24"/>
          <w:szCs w:val="24"/>
        </w:rPr>
        <w:fldChar w:fldCharType="begin"/>
      </w:r>
      <w:r>
        <w:rPr>
          <w:sz w:val="24"/>
          <w:szCs w:val="24"/>
        </w:rPr>
        <w:instrText xml:space="preserve"> PAGEREF _Toc531937783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sz w:val="24"/>
          <w:szCs w:val="24"/>
        </w:rPr>
        <w:fldChar w:fldCharType="begin"/>
      </w:r>
      <w:r>
        <w:rPr>
          <w:sz w:val="24"/>
          <w:szCs w:val="24"/>
        </w:rPr>
        <w:instrText xml:space="preserve"> HYPERLINK \l "_Toc531937784" </w:instrText>
      </w:r>
      <w:r>
        <w:rPr>
          <w:sz w:val="24"/>
          <w:szCs w:val="24"/>
        </w:rPr>
        <w:fldChar w:fldCharType="separate"/>
      </w:r>
      <w:r>
        <w:rPr>
          <w:rStyle w:val="12"/>
          <w:rFonts w:hint="eastAsia" w:ascii="黑体" w:hAnsi="黑体" w:eastAsia="黑体"/>
          <w:sz w:val="24"/>
          <w:szCs w:val="24"/>
        </w:rPr>
        <w:t>（一）突出教学中心地位</w:t>
      </w:r>
      <w:r>
        <w:rPr>
          <w:sz w:val="24"/>
          <w:szCs w:val="24"/>
        </w:rPr>
        <w:tab/>
      </w:r>
      <w:r>
        <w:rPr>
          <w:sz w:val="24"/>
          <w:szCs w:val="24"/>
        </w:rPr>
        <w:fldChar w:fldCharType="begin"/>
      </w:r>
      <w:r>
        <w:rPr>
          <w:sz w:val="24"/>
          <w:szCs w:val="24"/>
        </w:rPr>
        <w:instrText xml:space="preserve"> PAGEREF _Toc531937784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"_Toc531937785" </w:instrText>
      </w:r>
      <w:r>
        <w:rPr>
          <w:sz w:val="24"/>
          <w:szCs w:val="24"/>
        </w:rPr>
        <w:fldChar w:fldCharType="separate"/>
      </w:r>
      <w:r>
        <w:rPr>
          <w:rStyle w:val="12"/>
          <w:rFonts w:hint="eastAsia" w:ascii="黑体" w:hAnsi="黑体" w:eastAsia="黑体"/>
          <w:sz w:val="24"/>
          <w:szCs w:val="24"/>
        </w:rPr>
        <w:t>（二）质量保障体系</w:t>
      </w:r>
      <w:r>
        <w:rPr>
          <w:sz w:val="24"/>
          <w:szCs w:val="24"/>
        </w:rPr>
        <w:tab/>
      </w:r>
      <w:r>
        <w:rPr>
          <w:sz w:val="24"/>
          <w:szCs w:val="24"/>
        </w:rPr>
        <w:fldChar w:fldCharType="begin"/>
      </w:r>
      <w:r>
        <w:rPr>
          <w:sz w:val="24"/>
          <w:szCs w:val="24"/>
        </w:rPr>
        <w:instrText xml:space="preserve"> PAGEREF _Toc531937785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sz w:val="24"/>
          <w:szCs w:val="24"/>
        </w:rPr>
        <w:fldChar w:fldCharType="begin"/>
      </w:r>
      <w:r>
        <w:rPr>
          <w:sz w:val="24"/>
          <w:szCs w:val="24"/>
        </w:rPr>
        <w:instrText xml:space="preserve"> HYPERLINK \l "_Toc531937786" </w:instrText>
      </w:r>
      <w:r>
        <w:rPr>
          <w:sz w:val="24"/>
          <w:szCs w:val="24"/>
        </w:rPr>
        <w:fldChar w:fldCharType="separate"/>
      </w:r>
      <w:r>
        <w:rPr>
          <w:rStyle w:val="12"/>
          <w:rFonts w:hint="eastAsia" w:ascii="黑体" w:hAnsi="黑体" w:eastAsia="黑体"/>
          <w:sz w:val="24"/>
          <w:szCs w:val="24"/>
        </w:rPr>
        <w:t>（三）质量管理标准</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1</w:t>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sz w:val="24"/>
          <w:szCs w:val="24"/>
        </w:rPr>
        <w:fldChar w:fldCharType="begin"/>
      </w:r>
      <w:r>
        <w:rPr>
          <w:sz w:val="24"/>
          <w:szCs w:val="24"/>
        </w:rPr>
        <w:instrText xml:space="preserve"> HYPERLINK \l "_Toc531937787" </w:instrText>
      </w:r>
      <w:r>
        <w:rPr>
          <w:sz w:val="24"/>
          <w:szCs w:val="24"/>
        </w:rPr>
        <w:fldChar w:fldCharType="separate"/>
      </w:r>
      <w:r>
        <w:rPr>
          <w:rStyle w:val="12"/>
          <w:rFonts w:hint="eastAsia" w:ascii="黑体" w:hAnsi="黑体" w:eastAsia="黑体"/>
          <w:sz w:val="24"/>
          <w:szCs w:val="24"/>
        </w:rPr>
        <w:t>（四）质量管理措施</w:t>
      </w:r>
      <w:r>
        <w:rPr>
          <w:sz w:val="24"/>
          <w:szCs w:val="24"/>
        </w:rPr>
        <w:tab/>
      </w:r>
      <w:r>
        <w:rPr>
          <w:sz w:val="24"/>
          <w:szCs w:val="24"/>
        </w:rPr>
        <w:fldChar w:fldCharType="begin"/>
      </w:r>
      <w:r>
        <w:rPr>
          <w:sz w:val="24"/>
          <w:szCs w:val="24"/>
        </w:rPr>
        <w:instrText xml:space="preserve"> PAGEREF _Toc531937787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sz w:val="24"/>
          <w:szCs w:val="24"/>
        </w:rPr>
        <w:fldChar w:fldCharType="begin"/>
      </w:r>
      <w:r>
        <w:rPr>
          <w:sz w:val="24"/>
          <w:szCs w:val="24"/>
        </w:rPr>
        <w:instrText xml:space="preserve"> HYPERLINK \l "_Toc531937788" </w:instrText>
      </w:r>
      <w:r>
        <w:rPr>
          <w:sz w:val="24"/>
          <w:szCs w:val="24"/>
        </w:rPr>
        <w:fldChar w:fldCharType="separate"/>
      </w:r>
      <w:r>
        <w:rPr>
          <w:rStyle w:val="12"/>
          <w:rFonts w:hint="eastAsia" w:ascii="黑体" w:hAnsi="黑体" w:eastAsia="黑体"/>
          <w:sz w:val="24"/>
          <w:szCs w:val="24"/>
        </w:rPr>
        <w:t>（五）信息利用和质量改进</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4</w:t>
      </w:r>
    </w:p>
    <w:p>
      <w:pPr>
        <w:pStyle w:val="8"/>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"_Toc531937789" </w:instrText>
      </w:r>
      <w:r>
        <w:rPr>
          <w:sz w:val="24"/>
          <w:szCs w:val="24"/>
        </w:rPr>
        <w:fldChar w:fldCharType="separate"/>
      </w:r>
      <w:r>
        <w:rPr>
          <w:rStyle w:val="12"/>
          <w:rFonts w:hint="eastAsia" w:ascii="黑体" w:hAnsi="黑体" w:eastAsia="黑体"/>
          <w:sz w:val="24"/>
          <w:szCs w:val="24"/>
        </w:rPr>
        <w:t>五、学生学习效果</w:t>
      </w:r>
      <w:r>
        <w:rPr>
          <w:sz w:val="24"/>
          <w:szCs w:val="24"/>
        </w:rPr>
        <w:tab/>
      </w:r>
      <w:r>
        <w:rPr>
          <w:sz w:val="24"/>
          <w:szCs w:val="24"/>
        </w:rPr>
        <w:fldChar w:fldCharType="begin"/>
      </w:r>
      <w:r>
        <w:rPr>
          <w:sz w:val="24"/>
          <w:szCs w:val="24"/>
        </w:rPr>
        <w:instrText xml:space="preserve"> PAGEREF _Toc531937789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"_Toc531937790" </w:instrText>
      </w:r>
      <w:r>
        <w:rPr>
          <w:sz w:val="24"/>
          <w:szCs w:val="24"/>
        </w:rPr>
        <w:fldChar w:fldCharType="separate"/>
      </w:r>
      <w:r>
        <w:rPr>
          <w:rStyle w:val="12"/>
          <w:rFonts w:hint="eastAsia" w:ascii="黑体" w:hAnsi="黑体" w:eastAsia="黑体"/>
          <w:sz w:val="24"/>
          <w:szCs w:val="24"/>
        </w:rPr>
        <w:t>（一）毕业情况</w:t>
      </w:r>
      <w:r>
        <w:rPr>
          <w:sz w:val="24"/>
          <w:szCs w:val="24"/>
        </w:rPr>
        <w:tab/>
      </w:r>
      <w:r>
        <w:rPr>
          <w:sz w:val="24"/>
          <w:szCs w:val="24"/>
        </w:rPr>
        <w:fldChar w:fldCharType="begin"/>
      </w:r>
      <w:r>
        <w:rPr>
          <w:sz w:val="24"/>
          <w:szCs w:val="24"/>
        </w:rPr>
        <w:instrText xml:space="preserve"> PAGEREF _Toc531937790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"_Toc531937791" </w:instrText>
      </w:r>
      <w:r>
        <w:rPr>
          <w:sz w:val="24"/>
          <w:szCs w:val="24"/>
        </w:rPr>
        <w:fldChar w:fldCharType="separate"/>
      </w:r>
      <w:r>
        <w:rPr>
          <w:rStyle w:val="12"/>
          <w:rFonts w:hint="eastAsia" w:ascii="黑体" w:hAnsi="黑体" w:eastAsia="黑体"/>
          <w:sz w:val="24"/>
          <w:szCs w:val="24"/>
        </w:rPr>
        <w:t>（二）就业情况</w:t>
      </w:r>
      <w:r>
        <w:rPr>
          <w:sz w:val="24"/>
          <w:szCs w:val="24"/>
        </w:rPr>
        <w:tab/>
      </w:r>
      <w:r>
        <w:rPr>
          <w:sz w:val="24"/>
          <w:szCs w:val="24"/>
        </w:rPr>
        <w:fldChar w:fldCharType="begin"/>
      </w:r>
      <w:r>
        <w:rPr>
          <w:sz w:val="24"/>
          <w:szCs w:val="24"/>
        </w:rPr>
        <w:instrText xml:space="preserve"> PAGEREF _Toc531937791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"_Toc531937792" </w:instrText>
      </w:r>
      <w:r>
        <w:rPr>
          <w:sz w:val="24"/>
          <w:szCs w:val="24"/>
        </w:rPr>
        <w:fldChar w:fldCharType="separate"/>
      </w:r>
      <w:r>
        <w:rPr>
          <w:rStyle w:val="12"/>
          <w:rFonts w:hint="eastAsia" w:ascii="黑体" w:hAnsi="黑体" w:eastAsia="黑体"/>
          <w:sz w:val="24"/>
          <w:szCs w:val="24"/>
        </w:rPr>
        <w:t>（三）转专业情况</w:t>
      </w:r>
      <w:r>
        <w:rPr>
          <w:sz w:val="24"/>
          <w:szCs w:val="24"/>
        </w:rPr>
        <w:tab/>
      </w:r>
      <w:r>
        <w:rPr>
          <w:sz w:val="24"/>
          <w:szCs w:val="24"/>
        </w:rPr>
        <w:fldChar w:fldCharType="begin"/>
      </w:r>
      <w:r>
        <w:rPr>
          <w:sz w:val="24"/>
          <w:szCs w:val="24"/>
        </w:rPr>
        <w:instrText xml:space="preserve"> PAGEREF _Toc531937792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"_Toc531937793" </w:instrText>
      </w:r>
      <w:r>
        <w:rPr>
          <w:sz w:val="24"/>
          <w:szCs w:val="24"/>
        </w:rPr>
        <w:fldChar w:fldCharType="separate"/>
      </w:r>
      <w:r>
        <w:rPr>
          <w:rStyle w:val="12"/>
          <w:rFonts w:hint="eastAsia" w:ascii="黑体" w:hAnsi="黑体" w:eastAsia="黑体"/>
          <w:sz w:val="24"/>
          <w:szCs w:val="24"/>
        </w:rPr>
        <w:t>（四）学生学风与获奖</w:t>
      </w:r>
      <w:r>
        <w:rPr>
          <w:sz w:val="24"/>
          <w:szCs w:val="24"/>
        </w:rPr>
        <w:tab/>
      </w:r>
      <w:r>
        <w:rPr>
          <w:sz w:val="24"/>
          <w:szCs w:val="24"/>
        </w:rPr>
        <w:fldChar w:fldCharType="begin"/>
      </w:r>
      <w:r>
        <w:rPr>
          <w:sz w:val="24"/>
          <w:szCs w:val="24"/>
        </w:rPr>
        <w:instrText xml:space="preserve"> PAGEREF _Toc531937793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9"/>
        <w:pageBreakBefore w:val="0"/>
        <w:widowControl w:val="0"/>
        <w:tabs>
          <w:tab w:val="right" w:leader="dot" w:pos="8296"/>
        </w:tabs>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sz w:val="24"/>
          <w:szCs w:val="24"/>
        </w:rPr>
        <w:fldChar w:fldCharType="begin"/>
      </w:r>
      <w:r>
        <w:rPr>
          <w:sz w:val="24"/>
          <w:szCs w:val="24"/>
        </w:rPr>
        <w:instrText xml:space="preserve"> HYPERLINK \l "_Toc531937794" </w:instrText>
      </w:r>
      <w:r>
        <w:rPr>
          <w:sz w:val="24"/>
          <w:szCs w:val="24"/>
        </w:rPr>
        <w:fldChar w:fldCharType="separate"/>
      </w:r>
      <w:r>
        <w:rPr>
          <w:rStyle w:val="12"/>
          <w:rFonts w:hint="eastAsia" w:ascii="黑体" w:hAnsi="黑体" w:eastAsia="黑体"/>
          <w:sz w:val="24"/>
          <w:szCs w:val="24"/>
        </w:rPr>
        <w:t>（五）毕业生成就展示</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8</w:t>
      </w:r>
    </w:p>
    <w:p>
      <w:pPr>
        <w:pStyle w:val="8"/>
        <w:pageBreakBefore w:val="0"/>
        <w:widowControl w:val="0"/>
        <w:tabs>
          <w:tab w:val="right" w:leader="dot" w:pos="8296"/>
        </w:tabs>
        <w:kinsoku/>
        <w:wordWrap/>
        <w:overflowPunct/>
        <w:topLinePunct w:val="0"/>
        <w:autoSpaceDE/>
        <w:autoSpaceDN/>
        <w:bidi w:val="0"/>
        <w:adjustRightInd/>
        <w:snapToGrid/>
        <w:spacing w:line="400" w:lineRule="exact"/>
        <w:textAlignment w:val="auto"/>
        <w:rPr>
          <w:rFonts w:hint="eastAsia" w:eastAsiaTheme="minorEastAsia"/>
          <w:sz w:val="24"/>
          <w:szCs w:val="24"/>
          <w:lang w:val="en-US" w:eastAsia="zh-CN"/>
        </w:rPr>
      </w:pPr>
      <w:r>
        <w:rPr>
          <w:sz w:val="24"/>
          <w:szCs w:val="24"/>
        </w:rPr>
        <w:fldChar w:fldCharType="begin"/>
      </w:r>
      <w:r>
        <w:rPr>
          <w:sz w:val="24"/>
          <w:szCs w:val="24"/>
        </w:rPr>
        <w:instrText xml:space="preserve"> HYPERLINK \l "_Toc531937795" </w:instrText>
      </w:r>
      <w:r>
        <w:rPr>
          <w:sz w:val="24"/>
          <w:szCs w:val="24"/>
        </w:rPr>
        <w:fldChar w:fldCharType="separate"/>
      </w:r>
      <w:r>
        <w:rPr>
          <w:rStyle w:val="12"/>
          <w:rFonts w:hint="eastAsia" w:ascii="黑体" w:hAnsi="黑体" w:eastAsia="黑体"/>
          <w:sz w:val="24"/>
          <w:szCs w:val="24"/>
        </w:rPr>
        <w:t>六、特色发展</w:t>
      </w:r>
      <w:r>
        <w:rPr>
          <w:sz w:val="24"/>
          <w:szCs w:val="24"/>
        </w:rPr>
        <w:tab/>
      </w:r>
      <w:r>
        <w:rPr>
          <w:rFonts w:hint="eastAsia"/>
          <w:sz w:val="24"/>
          <w:szCs w:val="24"/>
          <w:lang w:val="en-US" w:eastAsia="zh-CN"/>
        </w:rPr>
        <w:t>2</w:t>
      </w:r>
      <w:r>
        <w:rPr>
          <w:sz w:val="24"/>
          <w:szCs w:val="24"/>
        </w:rPr>
        <w:fldChar w:fldCharType="end"/>
      </w:r>
      <w:r>
        <w:rPr>
          <w:rFonts w:hint="eastAsia"/>
          <w:sz w:val="24"/>
          <w:szCs w:val="24"/>
          <w:lang w:val="en-US" w:eastAsia="zh-CN"/>
        </w:rPr>
        <w:t>8</w:t>
      </w:r>
    </w:p>
    <w:p>
      <w:pPr>
        <w:pStyle w:val="8"/>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"_Toc531937796" </w:instrText>
      </w:r>
      <w:r>
        <w:rPr>
          <w:sz w:val="24"/>
          <w:szCs w:val="24"/>
        </w:rPr>
        <w:fldChar w:fldCharType="separate"/>
      </w:r>
      <w:r>
        <w:rPr>
          <w:rStyle w:val="12"/>
          <w:rFonts w:hint="eastAsia" w:ascii="黑体" w:hAnsi="黑体" w:eastAsia="黑体"/>
          <w:sz w:val="24"/>
          <w:szCs w:val="24"/>
        </w:rPr>
        <w:t>七、存在问题及改进计划</w:t>
      </w:r>
      <w:r>
        <w:rPr>
          <w:sz w:val="24"/>
          <w:szCs w:val="24"/>
        </w:rPr>
        <w:tab/>
      </w:r>
      <w:r>
        <w:rPr>
          <w:sz w:val="24"/>
          <w:szCs w:val="24"/>
        </w:rPr>
        <w:fldChar w:fldCharType="begin"/>
      </w:r>
      <w:r>
        <w:rPr>
          <w:sz w:val="24"/>
          <w:szCs w:val="24"/>
        </w:rPr>
        <w:instrText xml:space="preserve"> PAGEREF _Toc531937796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8"/>
        <w:pageBreakBefore w:val="0"/>
        <w:widowControl w:val="0"/>
        <w:tabs>
          <w:tab w:val="right" w:leader="dot" w:pos="8296"/>
        </w:tabs>
        <w:kinsoku/>
        <w:wordWrap/>
        <w:overflowPunct/>
        <w:topLinePunct w:val="0"/>
        <w:autoSpaceDE/>
        <w:autoSpaceDN/>
        <w:bidi w:val="0"/>
        <w:adjustRightInd/>
        <w:snapToGrid/>
        <w:spacing w:line="400" w:lineRule="exact"/>
        <w:textAlignment w:val="auto"/>
        <w:rPr>
          <w:sz w:val="24"/>
          <w:szCs w:val="24"/>
        </w:rPr>
      </w:pPr>
      <w:r>
        <w:rPr>
          <w:sz w:val="24"/>
          <w:szCs w:val="24"/>
        </w:rPr>
        <w:fldChar w:fldCharType="begin"/>
      </w:r>
      <w:r>
        <w:rPr>
          <w:sz w:val="24"/>
          <w:szCs w:val="24"/>
        </w:rPr>
        <w:instrText xml:space="preserve"> HYPERLINK \l "_Toc531937797" </w:instrText>
      </w:r>
      <w:r>
        <w:rPr>
          <w:sz w:val="24"/>
          <w:szCs w:val="24"/>
        </w:rPr>
        <w:fldChar w:fldCharType="separate"/>
      </w:r>
      <w:r>
        <w:rPr>
          <w:rStyle w:val="12"/>
          <w:rFonts w:hint="eastAsia" w:ascii="黑体" w:hAnsi="黑体" w:eastAsia="黑体"/>
          <w:sz w:val="24"/>
          <w:szCs w:val="24"/>
        </w:rPr>
        <w:t>附件：本科教学质量报告支撑数据</w:t>
      </w:r>
      <w:r>
        <w:rPr>
          <w:sz w:val="24"/>
          <w:szCs w:val="24"/>
        </w:rPr>
        <w:tab/>
      </w:r>
      <w:r>
        <w:rPr>
          <w:sz w:val="24"/>
          <w:szCs w:val="24"/>
        </w:rPr>
        <w:fldChar w:fldCharType="begin"/>
      </w:r>
      <w:r>
        <w:rPr>
          <w:sz w:val="24"/>
          <w:szCs w:val="24"/>
        </w:rPr>
        <w:instrText xml:space="preserve"> PAGEREF _Toc531937797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2"/>
        <w:pageBreakBefore w:val="0"/>
        <w:widowControl w:val="0"/>
        <w:kinsoku/>
        <w:wordWrap/>
        <w:overflowPunct/>
        <w:topLinePunct w:val="0"/>
        <w:autoSpaceDE/>
        <w:autoSpaceDN/>
        <w:bidi w:val="0"/>
        <w:adjustRightInd/>
        <w:snapToGrid/>
        <w:spacing w:line="400" w:lineRule="exact"/>
        <w:jc w:val="left"/>
        <w:textAlignment w:val="auto"/>
        <w:rPr>
          <w:sz w:val="24"/>
          <w:szCs w:val="24"/>
        </w:rPr>
        <w:sectPr>
          <w:pgSz w:w="11906" w:h="16838"/>
          <w:pgMar w:top="1440" w:right="1800" w:bottom="1440" w:left="1800" w:header="624" w:footer="992" w:gutter="0"/>
          <w:cols w:space="0" w:num="1"/>
          <w:rtlGutter w:val="0"/>
          <w:docGrid w:type="lines" w:linePitch="317" w:charSpace="0"/>
        </w:sectPr>
      </w:pPr>
    </w:p>
    <w:p>
      <w:pPr>
        <w:pStyle w:val="2"/>
        <w:keepNext/>
        <w:keepLines/>
        <w:pageBreakBefore w:val="0"/>
        <w:widowControl w:val="0"/>
        <w:kinsoku/>
        <w:wordWrap/>
        <w:overflowPunct/>
        <w:topLinePunct w:val="0"/>
        <w:autoSpaceDE/>
        <w:autoSpaceDN/>
        <w:bidi w:val="0"/>
        <w:adjustRightInd/>
        <w:snapToGrid/>
        <w:spacing w:line="400" w:lineRule="exact"/>
        <w:jc w:val="left"/>
        <w:textAlignment w:val="auto"/>
        <w:rPr>
          <w:sz w:val="24"/>
          <w:szCs w:val="24"/>
        </w:rPr>
      </w:pPr>
      <w:r>
        <w:rPr>
          <w:sz w:val="24"/>
          <w:szCs w:val="24"/>
        </w:rPr>
        <w:fldChar w:fldCharType="end"/>
      </w:r>
      <w:bookmarkStart w:id="0" w:name="_Toc531937755"/>
    </w:p>
    <w:p>
      <w:pPr>
        <w:pStyle w:val="2"/>
        <w:keepNext/>
        <w:keepLines/>
        <w:pageBreakBefore w:val="0"/>
        <w:widowControl w:val="0"/>
        <w:kinsoku/>
        <w:wordWrap/>
        <w:overflowPunct/>
        <w:topLinePunct w:val="0"/>
        <w:autoSpaceDE/>
        <w:autoSpaceDN/>
        <w:bidi w:val="0"/>
        <w:adjustRightInd/>
        <w:snapToGrid/>
        <w:spacing w:line="400" w:lineRule="exact"/>
        <w:jc w:val="left"/>
        <w:textAlignment w:val="auto"/>
        <w:rPr>
          <w:rFonts w:hint="eastAsia" w:eastAsia="黑体"/>
          <w:b w:val="0"/>
          <w:bCs w:val="0"/>
          <w:lang w:eastAsia="zh-CN"/>
        </w:rPr>
      </w:pPr>
      <w:r>
        <w:rPr>
          <w:rFonts w:hint="eastAsia" w:ascii="黑体" w:hAnsi="黑体" w:eastAsia="黑体"/>
          <w:b w:val="0"/>
          <w:bCs w:val="0"/>
          <w:sz w:val="28"/>
          <w:szCs w:val="28"/>
        </w:rPr>
        <w:t>一、本科教育基本情况</w:t>
      </w:r>
      <w:bookmarkEnd w:id="0"/>
    </w:p>
    <w:p>
      <w:pPr>
        <w:pStyle w:val="3"/>
        <w:jc w:val="left"/>
        <w:rPr>
          <w:rFonts w:hint="eastAsia" w:ascii="方正书宋简体" w:hAnsi="方正书宋简体" w:eastAsia="方正书宋简体" w:cs="方正书宋简体"/>
        </w:rPr>
      </w:pPr>
      <w:bookmarkStart w:id="1" w:name="_Toc531937756"/>
      <w:r>
        <w:rPr>
          <w:rFonts w:hint="eastAsia" w:ascii="方正书宋简体" w:hAnsi="方正书宋简体" w:eastAsia="方正书宋简体" w:cs="方正书宋简体"/>
          <w:sz w:val="28"/>
          <w:szCs w:val="28"/>
        </w:rPr>
        <w:t>（一）发展目标定位</w:t>
      </w:r>
      <w:bookmarkEnd w:id="1"/>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 xml:space="preserve">办学目标定位：地方性、应用型、有特色的区域高水平大学。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 xml:space="preserve">服务面向定位：根植湖南，面向基层，为区域经济建设与社会发展服务。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 xml:space="preserve">办学类型定位：教学型普通本科高校。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 xml:space="preserve">办学层次定位：以本科教育为主，积极创办研究生教育，适度开展其他类型的教育。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 xml:space="preserve">办学特色定位：艰苦奋斗，自强不息的办学精神；注重实践，强调应用的育人理念；根植湖南，服务地方的价值追求。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 xml:space="preserve">人才培养目标定位：培养德智体美劳全面发展，基础扎实、实践能力强、综合素质高，具有创新精神和适应区域经济社会发展的应用型人才。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战略目标：建成高水平应用型大学，实现学校影响力、学生竞争力、师生幸福力同步提升。具体分三步走：第一步，“十三五”时期，努力迈进湖南省转型发展高校先进行列；第二步，再用五至十年，把学校建成有区域影响力的先进技术转移中心、科技服务中心、技术创新基地、文化传承创新中心和应用型人才培养中心；第三步，到建校一百周年把学校建成有地位、有影响的高水平应用型大学。</w:t>
      </w:r>
    </w:p>
    <w:p>
      <w:pPr>
        <w:pStyle w:val="3"/>
        <w:jc w:val="left"/>
        <w:rPr>
          <w:rFonts w:hint="eastAsia" w:ascii="方正书宋简体" w:hAnsi="方正书宋简体" w:eastAsia="方正书宋简体" w:cs="方正书宋简体"/>
        </w:rPr>
      </w:pPr>
      <w:bookmarkStart w:id="2" w:name="_Toc531937757"/>
      <w:r>
        <w:rPr>
          <w:rFonts w:hint="eastAsia" w:ascii="方正书宋简体" w:hAnsi="方正书宋简体" w:eastAsia="方正书宋简体" w:cs="方正书宋简体"/>
          <w:sz w:val="28"/>
          <w:szCs w:val="28"/>
        </w:rPr>
        <w:t>（二）学科专业设置情况</w:t>
      </w:r>
      <w:bookmarkEnd w:id="2"/>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本科专业总数达46个，涵盖8个学科门类，目前本科专业布局结构为：法学专业1个占2.17%、工学专业11个占23.91%、管理学专业2个占4.35%、教育学专业7个占15.22%、经济学专业3个占6.52%、理学专业7个占15.22%、文学专业5个占10.87%、艺术学专业8个占17.39%，学校有省部一级重点学科2个。</w:t>
      </w:r>
    </w:p>
    <w:p>
      <w:pPr>
        <w:jc w:val="center"/>
        <w:rPr>
          <w:rFonts w:hint="eastAsia" w:ascii="方正书宋简体" w:hAnsi="方正书宋简体" w:eastAsia="方正书宋简体" w:cs="方正书宋简体"/>
        </w:rPr>
      </w:pPr>
      <w:r>
        <w:rPr>
          <w:rFonts w:hint="eastAsia" w:ascii="宋体" w:hAnsi="宋体" w:eastAsia="宋体"/>
          <w:sz w:val="24"/>
          <w:szCs w:val="24"/>
        </w:rPr>
        <w:drawing>
          <wp:inline distT="0" distB="0" distL="0" distR="0">
            <wp:extent cx="5274310" cy="2714625"/>
            <wp:effectExtent l="0" t="0" r="2540" b="9525"/>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pic:nvPicPr>
                  <pic:blipFill>
                    <a:blip r:embed="rId8">
                      <a:extLst>
                        <a:ext uri="{28A0092B-C50C-407E-A947-70E740481C1C}">
                          <a14:useLocalDpi xmlns:a14="http://schemas.microsoft.com/office/drawing/2010/main" val="0"/>
                        </a:ext>
                      </a:extLst>
                    </a:blip>
                    <a:srcRect t="4610" b="11170"/>
                    <a:stretch>
                      <a:fillRect/>
                    </a:stretch>
                  </pic:blipFill>
                  <pic:spPr>
                    <a:xfrm>
                      <a:off x="0" y="0"/>
                      <a:ext cx="5274310" cy="2714625"/>
                    </a:xfrm>
                    <a:prstGeom prst="rect">
                      <a:avLst/>
                    </a:prstGeom>
                  </pic:spPr>
                </pic:pic>
              </a:graphicData>
            </a:graphic>
          </wp:inline>
        </w:drawing>
      </w:r>
      <w:r>
        <w:rPr>
          <w:rFonts w:hint="eastAsia" w:ascii="方正书宋简体" w:hAnsi="方正书宋简体" w:eastAsia="方正书宋简体" w:cs="方正书宋简体"/>
          <w:sz w:val="24"/>
          <w:szCs w:val="24"/>
        </w:rPr>
        <w:t>图1各学科专业占比情况</w:t>
      </w:r>
    </w:p>
    <w:p>
      <w:pPr>
        <w:pStyle w:val="3"/>
        <w:jc w:val="left"/>
        <w:rPr>
          <w:rFonts w:hint="eastAsia" w:ascii="方正书宋简体" w:hAnsi="方正书宋简体" w:eastAsia="方正书宋简体" w:cs="方正书宋简体"/>
          <w:sz w:val="28"/>
          <w:szCs w:val="28"/>
        </w:rPr>
      </w:pPr>
      <w:bookmarkStart w:id="3" w:name="_Toc531937758"/>
      <w:r>
        <w:rPr>
          <w:rFonts w:hint="eastAsia" w:ascii="方正书宋简体" w:hAnsi="方正书宋简体" w:eastAsia="方正书宋简体" w:cs="方正书宋简体"/>
          <w:sz w:val="28"/>
          <w:szCs w:val="28"/>
        </w:rPr>
        <w:t>（三）在校生规模</w:t>
      </w:r>
      <w:bookmarkEnd w:id="3"/>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2017-2018学年本科在校生14577人（一年级3742人，二年级3660人，三年级3622人，四年级3553人）。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目前学校全日制在校生总规模为15048人，本科生数占全日制在校生总数的比例为98.72%。</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各类在校生的人数情况如表1所示（按时点统计）。</w:t>
      </w:r>
    </w:p>
    <w:p>
      <w:pPr>
        <w:spacing w:line="400" w:lineRule="exact"/>
        <w:ind w:firstLine="480" w:firstLineChars="200"/>
        <w:jc w:val="left"/>
        <w:rPr>
          <w:rFonts w:hint="eastAsia" w:ascii="方正书宋简体" w:hAnsi="方正书宋简体" w:eastAsia="方正书宋简体" w:cs="方正书宋简体"/>
          <w:sz w:val="24"/>
          <w:szCs w:val="24"/>
        </w:rPr>
      </w:pP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表1 各类学生人数一览表</w:t>
      </w:r>
    </w:p>
    <w:tbl>
      <w:tblPr>
        <w:tblStyle w:val="13"/>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3029"/>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普通本科生数</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sz w:val="22"/>
              </w:rPr>
              <w:t>14856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普通高职(含专科)生数</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29"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硕士研究生数</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全日制</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非全日制</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29"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博士研究生数</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全日制</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29"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非全日制</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留学生数</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hint="eastAsia" w:ascii="宋体" w:hAnsi="宋体" w:eastAsia="宋体" w:cs="宋体"/>
                <w:sz w:val="22"/>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普通预科生数</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sz w:val="22"/>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进修生数</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成人脱产学生数</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夜大（业余）学生数</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sz w:val="22"/>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b/>
                <w:sz w:val="18"/>
              </w:rPr>
              <w:t>函授学生数</w:t>
            </w:r>
          </w:p>
        </w:tc>
        <w:tc>
          <w:tcPr>
            <w:tcW w:w="24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pPr>
            <w:r>
              <w:rPr>
                <w:rFonts w:ascii="宋体" w:hAnsi="宋体" w:eastAsia="宋体" w:cs="宋体"/>
                <w:sz w:val="22"/>
              </w:rPr>
              <w:t>2360</w:t>
            </w:r>
          </w:p>
        </w:tc>
      </w:tr>
    </w:tbl>
    <w:p>
      <w:pPr>
        <w:pStyle w:val="3"/>
        <w:jc w:val="left"/>
        <w:rPr>
          <w:rFonts w:hint="eastAsia" w:ascii="方正书宋简体" w:hAnsi="方正书宋简体" w:eastAsia="方正书宋简体" w:cs="方正书宋简体"/>
          <w:sz w:val="28"/>
          <w:szCs w:val="28"/>
        </w:rPr>
      </w:pPr>
      <w:bookmarkStart w:id="4" w:name="_Toc531937759"/>
      <w:r>
        <w:rPr>
          <w:rFonts w:hint="eastAsia" w:ascii="方正书宋简体" w:hAnsi="方正书宋简体" w:eastAsia="方正书宋简体" w:cs="方正书宋简体"/>
          <w:sz w:val="28"/>
          <w:szCs w:val="28"/>
        </w:rPr>
        <w:t>（四）本科生生源质量</w:t>
      </w:r>
      <w:bookmarkEnd w:id="4"/>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bookmarkStart w:id="5" w:name="_Toc531937760"/>
      <w:r>
        <w:rPr>
          <w:rFonts w:hint="eastAsia" w:ascii="方正书宋简体" w:hAnsi="方正书宋简体" w:eastAsia="方正书宋简体" w:cs="方正书宋简体"/>
          <w:sz w:val="24"/>
          <w:szCs w:val="24"/>
        </w:rPr>
        <w:t>2018年，学校普通本科招生计划3933人，实际录取3933人，录取率为100%；实际报到3837人，报到率为97.56%。另外，在湖南省招录少数民族本科预科班新生200人,实际报到191人，报到率为95.5%；招录了“一带一路”沿线9个国家44名留学生。</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面向全国27个省（市区）招生，生源充足，质量优良，录取分数稳中有升。全校本科一志愿出档率高达98.35%，非艺体类专业本科一志愿出档率达98.47%。在湖南录取新生2968人，学校普通理科投档线高出省本科二批控制线16分（湖南分本科提前批、本科一批、本科二批、本科三批）,录取平均分472分，平均分高出省本科二批控制线22分；学校普通文科投档线高出省本科二批控制线12分,平均分541分，平均分高出省本科二批控制线15分；录取一本线上考生8人,录取超出学校投档线上30分以上考生40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生源情况详见下表（艺术体育类、职高对口招生类及少数民族本科预科班不在统计之列）。</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表2 生源情况</w:t>
      </w:r>
    </w:p>
    <w:tbl>
      <w:tblPr>
        <w:tblStyle w:val="13"/>
        <w:tblW w:w="8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89"/>
        <w:gridCol w:w="696"/>
        <w:gridCol w:w="668"/>
        <w:gridCol w:w="626"/>
        <w:gridCol w:w="742"/>
        <w:gridCol w:w="742"/>
        <w:gridCol w:w="742"/>
        <w:gridCol w:w="742"/>
        <w:gridCol w:w="74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jc w:val="center"/>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省份</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学校录取所在</w:t>
            </w:r>
            <w:r>
              <w:rPr>
                <w:rFonts w:ascii="宋体" w:hAnsi="宋体" w:eastAsia="宋体" w:cs="宋体"/>
                <w:b/>
                <w:sz w:val="18"/>
              </w:rPr>
              <w:t>批次</w:t>
            </w: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录取数</w:t>
            </w: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各省该</w:t>
            </w:r>
            <w:r>
              <w:rPr>
                <w:rFonts w:ascii="宋体" w:hAnsi="宋体" w:eastAsia="宋体" w:cs="宋体"/>
                <w:b/>
                <w:sz w:val="18"/>
              </w:rPr>
              <w:t>批次最低控制线（分）</w:t>
            </w: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学校</w:t>
            </w:r>
            <w:r>
              <w:rPr>
                <w:rFonts w:ascii="宋体" w:hAnsi="宋体" w:eastAsia="宋体" w:cs="宋体"/>
                <w:b/>
                <w:sz w:val="18"/>
              </w:rPr>
              <w:t>录取平均分与批次最低控制线的差值（分）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文科</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理科</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不分</w:t>
            </w:r>
          </w:p>
          <w:p>
            <w:pPr>
              <w:jc w:val="center"/>
            </w:pPr>
            <w:r>
              <w:rPr>
                <w:rFonts w:ascii="宋体" w:hAnsi="宋体" w:eastAsia="宋体" w:cs="宋体"/>
                <w:b/>
                <w:sz w:val="18"/>
              </w:rPr>
              <w:t>文理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文科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理科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不分</w:t>
            </w:r>
          </w:p>
          <w:p>
            <w:pPr>
              <w:jc w:val="center"/>
            </w:pPr>
            <w:r>
              <w:rPr>
                <w:rFonts w:ascii="宋体" w:hAnsi="宋体" w:eastAsia="宋体" w:cs="宋体"/>
                <w:b/>
                <w:sz w:val="18"/>
              </w:rPr>
              <w:t>文理</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文科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理科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不分</w:t>
            </w:r>
          </w:p>
          <w:p>
            <w:pPr>
              <w:jc w:val="center"/>
            </w:pPr>
            <w:r>
              <w:rPr>
                <w:rFonts w:ascii="宋体" w:hAnsi="宋体" w:eastAsia="宋体" w:cs="宋体"/>
                <w:b/>
                <w:sz w:val="18"/>
              </w:rPr>
              <w:t>文理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天津市</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本科A批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436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407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48.7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山东省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普通本科批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505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435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26.8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贵州省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477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379</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75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73.4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云南省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490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430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49.5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56.6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四川省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492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458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59.8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安徽省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486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432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51.66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64.2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河北省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eastAsia="宋体"/>
              </w:rPr>
            </w:pPr>
            <w:r>
              <w:rPr>
                <w:rFonts w:ascii="宋体" w:hAnsi="宋体" w:eastAsia="宋体" w:cs="宋体"/>
                <w:b/>
                <w:sz w:val="18"/>
              </w:rPr>
              <w:t>2</w:t>
            </w:r>
            <w:r>
              <w:rPr>
                <w:rFonts w:hint="eastAsia" w:ascii="宋体" w:hAnsi="宋体" w:eastAsia="宋体" w:cs="宋体"/>
                <w:b/>
                <w:sz w:val="18"/>
              </w:rPr>
              <w:t>9</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441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358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96.6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138.2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广西壮族自治区</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11</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403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345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77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135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新疆维吾尔自治区</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11</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372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341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106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105.3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重庆市</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3</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4</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434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428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62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陕西省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467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425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21.33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25.73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河南省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436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374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92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114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江苏省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24</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60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281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285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28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广东省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hint="eastAsia" w:ascii="宋体" w:hAnsi="宋体" w:eastAsia="宋体" w:cs="宋体"/>
                <w:b/>
                <w:sz w:val="18"/>
              </w:rPr>
              <w:t>普通本科批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443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376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71.2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85.4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江西省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hint="eastAsia" w:ascii="宋体" w:hAnsi="宋体" w:eastAsia="宋体" w:cs="宋体"/>
                <w:b/>
                <w:sz w:val="18"/>
              </w:rPr>
              <w:t>本科二批A</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496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447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北京市</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3</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2</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488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432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37</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海南省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hint="eastAsia" w:ascii="宋体" w:hAnsi="宋体" w:eastAsia="宋体" w:cs="宋体"/>
                <w:b/>
                <w:sz w:val="18"/>
              </w:rPr>
              <w:t>本科A批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18</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28</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579</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539</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37.2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48.6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福建省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w:t>
            </w:r>
            <w:r>
              <w:rPr>
                <w:rFonts w:ascii="宋体" w:hAnsi="宋体" w:eastAsia="宋体" w:cs="宋体"/>
                <w:b/>
                <w:sz w:val="18"/>
              </w:rPr>
              <w:t>提前批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3</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11</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446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378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72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61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福建省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2</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2</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446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378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63.5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66.9</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吉林省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hint="eastAsia" w:ascii="宋体" w:hAnsi="宋体" w:eastAsia="宋体" w:cs="宋体"/>
                <w:b/>
                <w:sz w:val="18"/>
              </w:rPr>
              <w:t>本科二批A</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13</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432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405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21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辽宁省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普通本科批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7</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8</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461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368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98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湖北省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3</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441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375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85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102.8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内蒙古自治区</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399</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336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73</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85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山西省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本科二批B</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23</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476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432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20.44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22.08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甘肃省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3</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456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436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31.8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28.8</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湖南省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本科二批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547</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1611</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526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450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Arial" w:hAnsi="Arial"/>
                <w:color w:val="000000"/>
                <w:sz w:val="20"/>
              </w:rPr>
              <w:t>22</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浙江省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cs="宋体"/>
                <w:b/>
                <w:sz w:val="18"/>
              </w:rPr>
              <w:t>普通本科批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36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r>
              <w:rPr>
                <w:rFonts w:hint="eastAsia" w:ascii="Arial" w:hAnsi="Arial"/>
                <w:color w:val="000000"/>
                <w:sz w:val="20"/>
              </w:rPr>
              <w:t>490</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r>
              <w:rPr>
                <w:rFonts w:hint="eastAsia" w:ascii="Arial" w:hAnsi="Arial"/>
                <w:color w:val="000000"/>
                <w:sz w:val="20"/>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ascii="宋体" w:hAnsi="宋体" w:eastAsia="宋体" w:cs="宋体"/>
                <w:b/>
                <w:sz w:val="18"/>
              </w:rPr>
              <w:t>上海市</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hint="eastAsia" w:ascii="宋体" w:hAnsi="宋体" w:eastAsia="宋体" w:cs="宋体"/>
                <w:b/>
                <w:sz w:val="18"/>
              </w:rPr>
              <w:t>普通本科批</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宋体" w:hAnsi="宋体" w:eastAsia="宋体" w:cs="宋体"/>
                <w:b/>
                <w:sz w:val="18"/>
              </w:rPr>
            </w:pPr>
            <w:r>
              <w:rPr>
                <w:rFonts w:hint="eastAsia" w:ascii="宋体" w:hAnsi="宋体" w:eastAsia="宋体" w:cs="宋体"/>
                <w:b/>
                <w:sz w:val="18"/>
              </w:rPr>
              <w:t>15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r>
              <w:rPr>
                <w:rFonts w:hint="eastAsia" w:ascii="Arial" w:hAnsi="Arial"/>
                <w:color w:val="000000"/>
                <w:sz w:val="20"/>
              </w:rPr>
              <w:t>401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rFonts w:ascii="Arial" w:hAnsi="Arial"/>
                <w:color w:val="000000"/>
                <w:sz w:val="20"/>
              </w:rPr>
            </w:pPr>
            <w:r>
              <w:rPr>
                <w:rFonts w:hint="eastAsia" w:ascii="Arial" w:hAnsi="Arial"/>
                <w:color w:val="000000"/>
                <w:sz w:val="20"/>
              </w:rPr>
              <w:t>20.4</w:t>
            </w:r>
          </w:p>
        </w:tc>
      </w:tr>
    </w:tbl>
    <w:p>
      <w:pPr>
        <w:pStyle w:val="2"/>
        <w:keepNext/>
        <w:keepLines/>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b w:val="0"/>
          <w:bCs w:val="0"/>
          <w:sz w:val="28"/>
          <w:szCs w:val="28"/>
        </w:rPr>
      </w:pPr>
      <w:r>
        <w:rPr>
          <w:rFonts w:hint="eastAsia" w:ascii="黑体" w:hAnsi="黑体" w:eastAsia="黑体"/>
          <w:b w:val="0"/>
          <w:bCs w:val="0"/>
          <w:sz w:val="28"/>
          <w:szCs w:val="28"/>
        </w:rPr>
        <w:t>二、师资与教学条件</w:t>
      </w:r>
      <w:bookmarkEnd w:id="5"/>
    </w:p>
    <w:p>
      <w:pPr>
        <w:pStyle w:val="3"/>
        <w:jc w:val="left"/>
        <w:rPr>
          <w:rFonts w:hint="eastAsia" w:ascii="方正书宋简体" w:hAnsi="方正书宋简体" w:eastAsia="方正书宋简体" w:cs="方正书宋简体"/>
          <w:sz w:val="28"/>
          <w:szCs w:val="28"/>
        </w:rPr>
      </w:pPr>
      <w:bookmarkStart w:id="6" w:name="_Toc531937761"/>
      <w:r>
        <w:rPr>
          <w:rFonts w:hint="eastAsia" w:ascii="方正书宋简体" w:hAnsi="方正书宋简体" w:eastAsia="方正书宋简体" w:cs="方正书宋简体"/>
          <w:sz w:val="28"/>
          <w:szCs w:val="28"/>
        </w:rPr>
        <w:t>（一）师资队伍</w:t>
      </w:r>
      <w:bookmarkEnd w:id="6"/>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现有专任教师792人、外聘教师22人，折合教师总数为803人，外聘教师与专任教师人数之比为2.78 %。按折合学生数15306.8人计算，生师比为19.06。专任教师中，“双师型”教师166人，占专任教师的比例为20.96 %；具有高级职称的专任教师309人，占专任教师的比例为37.12 %；具有硕士和博士学位的专任教师706人，占专任教师的比例为89.14 %。入选国务院政府特殊津贴、湖南省政府特殊津贴、湖南省“121人才”工程人选、“湖湘青年英才”支持计划、省级学科带头人、省级青年骨干教师70余人，省部级教学团队3个。</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学年度，学校高度重视人才队伍建设，在建立人才引进机制、加大人才培养力度、营造人才工作氛围等方面开展了系列卓有成效的工作。一是进一步建立健全人才竞争机制，制定了《湖南科技学院人才引进办法》、《关于提高高层次人才待遇的实施方案（修订）》、《标志性科研成果折算教学工作量实施办法》；二是实行人才引进目标责任制，明确各教学学院年度高层次人才引进计划，纳入年终目标管理考核；三是加大人才培养力度，制定了《湖南科技学院委托国（境）外大学培养博士项目实施办法》、《湖南科技学院“英才支持计划”实施方案（修订）》、《湖南科技学院“青苗支持计划”实施方案（修订）》，使青年教师有了奋斗的目标、方向和动力；四是学校进一步营造惜才、爱才、重才、用才的良好氛围，把2017年定为人才工作年，2017年4月学校召开了全校人才工作会议，在充分调研的基础上，出台了10个行动方案，2017年12月和2018年9月学校又召开了高层次人才迎新年座谈会和“祝福祖国”高层次人才座谈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高层次人才引进工作取得突破性进展。全年共招聘教师88人，其中正高职称、博士53人，硕士31人；加大人才团队引进力度，引进米双山教授工作团队和尹业师博士工作团队共9名博士教授；签约特聘教授、讲座讲授4人；1人入选“湖湘青年英才”支持计划，2人入选“永州市首届青年英才”，选拔校内“英才支持计划”6人、“青苗支持计划”10人，选送11位老师赴国（境）外大学攻读博士。</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近两学年教师总数详见表3。</w:t>
      </w:r>
    </w:p>
    <w:p>
      <w:pPr>
        <w:jc w:val="center"/>
      </w:pPr>
      <w:r>
        <w:tab/>
      </w: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表3 近两学年教师总数</w:t>
      </w:r>
    </w:p>
    <w:tbl>
      <w:tblPr>
        <w:tblStyle w:val="13"/>
        <w:tblW w:w="8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693"/>
        <w:gridCol w:w="1693"/>
        <w:gridCol w:w="1693"/>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jc w:val="center"/>
        </w:trPr>
        <w:tc>
          <w:tcPr>
            <w:tcW w:w="169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专任教师数</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外聘教师数</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折合教师总数</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生师比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9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本学年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792</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22</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803</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94"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上学年</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sz w:val="18"/>
                <w:szCs w:val="18"/>
              </w:rPr>
              <w:t>686</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sz w:val="18"/>
                <w:szCs w:val="18"/>
              </w:rPr>
              <w:t>7</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sz w:val="18"/>
                <w:szCs w:val="18"/>
              </w:rPr>
              <w:t>689.5</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hint="eastAsia" w:ascii="宋体" w:hAnsi="宋体" w:eastAsia="宋体"/>
                <w:sz w:val="18"/>
                <w:szCs w:val="18"/>
              </w:rPr>
              <w:t xml:space="preserve"> 21.91</w:t>
            </w:r>
          </w:p>
        </w:tc>
      </w:tr>
    </w:tbl>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教师队伍职称、学位、年龄的结构详见表4。</w:t>
      </w:r>
    </w:p>
    <w:p>
      <w:pPr>
        <w:jc w:val="left"/>
      </w:pP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表4 教师队伍职称、学位、年龄结构</w:t>
      </w:r>
    </w:p>
    <w:tbl>
      <w:tblPr>
        <w:tblStyle w:val="13"/>
        <w:tblW w:w="8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732"/>
        <w:gridCol w:w="1346"/>
        <w:gridCol w:w="1348"/>
        <w:gridCol w:w="1346"/>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blHeader/>
          <w:jc w:val="center"/>
        </w:trPr>
        <w:tc>
          <w:tcPr>
            <w:tcW w:w="3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项目</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专任教师</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外聘教师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blHeader/>
          <w:jc w:val="center"/>
        </w:trPr>
        <w:tc>
          <w:tcPr>
            <w:tcW w:w="3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数量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比例（%）</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数量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总计</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792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22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职称</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正高级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76</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9.60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13</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59.09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其中教授</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67</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8.46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13</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59.09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副高级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218</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27.53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6</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27.27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其中副教授</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183</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23.11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中级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321</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40.53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其中讲师</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302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38.13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初级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92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11.62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4.55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其中助教</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83</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10.48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未评级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85</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10.73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最高学位</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博士</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122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15.40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5</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22.73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硕士</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584</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73.74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4</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18.18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学士</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71</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8.96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8</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36.36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无学位</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15</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1.89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5</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22.73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年龄</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35岁及以下</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330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41.67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36-45岁</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317</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40.03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3</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13.64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46-55岁</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131</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16.54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6</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27.27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56岁及以上</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14</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1.77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11</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50.00 </w:t>
            </w:r>
          </w:p>
        </w:tc>
      </w:tr>
    </w:tbl>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近两学年教师职称、学位、年龄情况见图2、图3、图4。</w:t>
      </w:r>
    </w:p>
    <w:p>
      <w:pPr>
        <w:jc w:val="center"/>
      </w:pPr>
      <w:r>
        <w:drawing>
          <wp:inline distT="0" distB="0" distL="0" distR="0">
            <wp:extent cx="4818380" cy="2886075"/>
            <wp:effectExtent l="0" t="0" r="1270" b="9525"/>
            <wp:docPr id="7"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logo100.png"/>
                    <pic:cNvPicPr>
                      <a:picLocks noChangeAspect="1"/>
                    </pic:cNvPicPr>
                  </pic:nvPicPr>
                  <pic:blipFill>
                    <a:blip r:embed="rId9"/>
                    <a:stretch>
                      <a:fillRect/>
                    </a:stretch>
                  </pic:blipFill>
                  <pic:spPr>
                    <a:xfrm>
                      <a:off x="0" y="0"/>
                      <a:ext cx="4818380" cy="2886075"/>
                    </a:xfrm>
                    <a:prstGeom prst="rect">
                      <a:avLst/>
                    </a:prstGeom>
                  </pic:spPr>
                </pic:pic>
              </a:graphicData>
            </a:graphic>
          </wp:inline>
        </w:drawing>
      </w: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图2  近两学年专任教师学位情况</w:t>
      </w:r>
    </w:p>
    <w:p>
      <w:pPr>
        <w:jc w:val="center"/>
      </w:pPr>
    </w:p>
    <w:p>
      <w:pPr>
        <w:jc w:val="center"/>
      </w:pPr>
      <w:r>
        <w:drawing>
          <wp:inline distT="0" distB="0" distL="0" distR="0">
            <wp:extent cx="4818380" cy="2886075"/>
            <wp:effectExtent l="0" t="0" r="1270" b="9525"/>
            <wp:docPr id="8"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logo100.png"/>
                    <pic:cNvPicPr>
                      <a:picLocks noChangeAspect="1"/>
                    </pic:cNvPicPr>
                  </pic:nvPicPr>
                  <pic:blipFill>
                    <a:blip r:embed="rId10"/>
                    <a:stretch>
                      <a:fillRect/>
                    </a:stretch>
                  </pic:blipFill>
                  <pic:spPr>
                    <a:xfrm>
                      <a:off x="0" y="0"/>
                      <a:ext cx="4818380" cy="2886075"/>
                    </a:xfrm>
                    <a:prstGeom prst="rect">
                      <a:avLst/>
                    </a:prstGeom>
                  </pic:spPr>
                </pic:pic>
              </a:graphicData>
            </a:graphic>
          </wp:inline>
        </w:drawing>
      </w: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图3   近两学年专任教师职称情况</w:t>
      </w:r>
    </w:p>
    <w:p>
      <w:pPr>
        <w:jc w:val="center"/>
      </w:pPr>
      <w:r>
        <w:drawing>
          <wp:inline distT="0" distB="0" distL="0" distR="0">
            <wp:extent cx="4818380" cy="2886075"/>
            <wp:effectExtent l="0" t="0" r="1270" b="9525"/>
            <wp:docPr id="9"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logo100.png"/>
                    <pic:cNvPicPr>
                      <a:picLocks noChangeAspect="1"/>
                    </pic:cNvPicPr>
                  </pic:nvPicPr>
                  <pic:blipFill>
                    <a:blip r:embed="rId11"/>
                    <a:stretch>
                      <a:fillRect/>
                    </a:stretch>
                  </pic:blipFill>
                  <pic:spPr>
                    <a:xfrm>
                      <a:off x="0" y="0"/>
                      <a:ext cx="4818380" cy="2886075"/>
                    </a:xfrm>
                    <a:prstGeom prst="rect">
                      <a:avLst/>
                    </a:prstGeom>
                  </pic:spPr>
                </pic:pic>
              </a:graphicData>
            </a:graphic>
          </wp:inline>
        </w:drawing>
      </w: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图4  近两学年专任教师年龄结构</w:t>
      </w:r>
    </w:p>
    <w:p>
      <w:pPr>
        <w:jc w:val="left"/>
      </w:pPr>
    </w:p>
    <w:p>
      <w:pPr>
        <w:jc w:val="left"/>
      </w:pPr>
      <w:r>
        <w:tab/>
      </w:r>
    </w:p>
    <w:p>
      <w:pPr>
        <w:pStyle w:val="3"/>
        <w:jc w:val="left"/>
        <w:rPr>
          <w:rFonts w:hint="eastAsia" w:ascii="方正书宋简体" w:hAnsi="方正书宋简体" w:eastAsia="方正书宋简体" w:cs="方正书宋简体"/>
          <w:sz w:val="28"/>
          <w:szCs w:val="28"/>
        </w:rPr>
      </w:pPr>
      <w:bookmarkStart w:id="7" w:name="_Toc531937762"/>
      <w:r>
        <w:rPr>
          <w:rFonts w:hint="eastAsia" w:ascii="方正书宋简体" w:hAnsi="方正书宋简体" w:eastAsia="方正书宋简体" w:cs="方正书宋简体"/>
          <w:sz w:val="28"/>
          <w:szCs w:val="28"/>
        </w:rPr>
        <w:t>（二）本科主讲教师情况</w:t>
      </w:r>
      <w:bookmarkEnd w:id="7"/>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本学年高级职称教师承担的课程门数为766，占总课程门数的44.35%；其中承担的课程门次数为1718，占开课总门次的37.15%。</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正高级职称教师承担的课程门数为250，占总课程门数的14.48%；课程门次数为426，占开课总门次的9.21%。其中教授职称教师承担的课程门数为221，占总课程门数的12.8%；课程门次数为387，占开课总门次的8.37%。</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副高级职称教师承担的课程门数为592，占总课程门数的34.28%；课程门次数为1350，占开课总门次的29.19%。其中副教授职称教师承担的课程门数为505，占总课程门数的29.24%；课程门次数为1173，占开课总门次的25.36%。</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专任教师中具有正高职称的教师76人，承担本科教学任务的正高职称教师74人，主讲本科课程的正高职称教师比例为97.36 %。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本学年主讲本科专业核心课程的教授30人，占授课教授总人数的35.71 %。高级职称教师承担的本科专业核心课程163门，占所开设本科专业核心课程的40.35 %。</w:t>
      </w:r>
    </w:p>
    <w:p>
      <w:pPr>
        <w:jc w:val="left"/>
      </w:pPr>
    </w:p>
    <w:p>
      <w:pPr>
        <w:jc w:val="left"/>
      </w:pPr>
    </w:p>
    <w:p>
      <w:pPr>
        <w:jc w:val="left"/>
      </w:pPr>
    </w:p>
    <w:p>
      <w:pPr>
        <w:jc w:val="center"/>
      </w:pPr>
      <w:r>
        <w:drawing>
          <wp:inline distT="0" distB="0" distL="0" distR="0">
            <wp:extent cx="5274310" cy="3076575"/>
            <wp:effectExtent l="0" t="0" r="2540" b="9525"/>
            <wp:docPr id="40" name="图片 40"/>
            <wp:cNvGraphicFramePr/>
            <a:graphic xmlns:a="http://schemas.openxmlformats.org/drawingml/2006/main">
              <a:graphicData uri="http://schemas.openxmlformats.org/drawingml/2006/picture">
                <pic:pic xmlns:pic="http://schemas.openxmlformats.org/drawingml/2006/picture">
                  <pic:nvPicPr>
                    <pic:cNvPr id="40" name="图片 40"/>
                    <pic:cNvPicPr/>
                  </pic:nvPicPr>
                  <pic:blipFill>
                    <a:blip r:embed="rId12">
                      <a:extLst>
                        <a:ext uri="{28A0092B-C50C-407E-A947-70E740481C1C}">
                          <a14:useLocalDpi xmlns:a14="http://schemas.microsoft.com/office/drawing/2010/main" val="0"/>
                        </a:ext>
                      </a:extLst>
                    </a:blip>
                    <a:stretch>
                      <a:fillRect/>
                    </a:stretch>
                  </pic:blipFill>
                  <pic:spPr>
                    <a:xfrm>
                      <a:off x="0" y="0"/>
                      <a:ext cx="5274310" cy="3076575"/>
                    </a:xfrm>
                    <a:prstGeom prst="rect">
                      <a:avLst/>
                    </a:prstGeom>
                  </pic:spPr>
                </pic:pic>
              </a:graphicData>
            </a:graphic>
          </wp:inline>
        </w:drawing>
      </w: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图5 各职称类别教师承担课程门数占比</w:t>
      </w:r>
    </w:p>
    <w:p>
      <w:pPr>
        <w:jc w:val="left"/>
      </w:pPr>
    </w:p>
    <w:p>
      <w:pPr>
        <w:jc w:val="center"/>
      </w:pPr>
      <w:r>
        <w:drawing>
          <wp:inline distT="0" distB="0" distL="0" distR="0">
            <wp:extent cx="4818380" cy="2886075"/>
            <wp:effectExtent l="0" t="0" r="1270" b="9525"/>
            <wp:docPr id="10"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logo100.png"/>
                    <pic:cNvPicPr>
                      <a:picLocks noChangeAspect="1"/>
                    </pic:cNvPicPr>
                  </pic:nvPicPr>
                  <pic:blipFill>
                    <a:blip r:embed="rId13"/>
                    <a:stretch>
                      <a:fillRect/>
                    </a:stretch>
                  </pic:blipFill>
                  <pic:spPr>
                    <a:xfrm>
                      <a:off x="0" y="0"/>
                      <a:ext cx="4818380" cy="2886075"/>
                    </a:xfrm>
                    <a:prstGeom prst="rect">
                      <a:avLst/>
                    </a:prstGeom>
                  </pic:spPr>
                </pic:pic>
              </a:graphicData>
            </a:graphic>
          </wp:inline>
        </w:drawing>
      </w: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图6  近两学年教授为本科生上课情况</w:t>
      </w:r>
    </w:p>
    <w:p>
      <w:pPr>
        <w:jc w:val="left"/>
      </w:pPr>
    </w:p>
    <w:p>
      <w:pPr>
        <w:jc w:val="both"/>
        <w:rPr>
          <w:rFonts w:hint="eastAsia" w:ascii="方正书宋简体" w:hAnsi="方正书宋简体" w:eastAsia="方正书宋简体" w:cs="方正书宋简体"/>
          <w:b/>
          <w:bCs/>
          <w:sz w:val="28"/>
          <w:szCs w:val="28"/>
        </w:rPr>
      </w:pPr>
      <w:bookmarkStart w:id="8" w:name="_Toc531937763"/>
      <w:r>
        <w:rPr>
          <w:rFonts w:hint="eastAsia" w:ascii="方正书宋简体" w:hAnsi="方正书宋简体" w:eastAsia="方正书宋简体" w:cs="方正书宋简体"/>
          <w:b/>
          <w:bCs/>
          <w:sz w:val="28"/>
          <w:szCs w:val="28"/>
        </w:rPr>
        <w:t>（三）教学经费投入情况</w:t>
      </w:r>
      <w:bookmarkEnd w:id="8"/>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2017年教学日常运行支出为2258.57万元，本科实验经费支出为223.67万元，本科实习经费支出为170.85万元。生均教学日常运行支出为1520.31元，生均本科实验经费为150.56元，生均实习经费为115元。近两年生均教学日常运行支出、生均实验经费、生均实习经费详见图7。</w:t>
      </w:r>
    </w:p>
    <w:p>
      <w:pPr>
        <w:jc w:val="center"/>
      </w:pPr>
      <w:r>
        <w:drawing>
          <wp:inline distT="0" distB="0" distL="0" distR="0">
            <wp:extent cx="4818380" cy="2886075"/>
            <wp:effectExtent l="0" t="0" r="1270" b="9525"/>
            <wp:docPr id="11"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logo100.png"/>
                    <pic:cNvPicPr>
                      <a:picLocks noChangeAspect="1"/>
                    </pic:cNvPicPr>
                  </pic:nvPicPr>
                  <pic:blipFill>
                    <a:blip r:embed="rId14"/>
                    <a:stretch>
                      <a:fillRect/>
                    </a:stretch>
                  </pic:blipFill>
                  <pic:spPr>
                    <a:xfrm>
                      <a:off x="0" y="0"/>
                      <a:ext cx="4818380" cy="2886075"/>
                    </a:xfrm>
                    <a:prstGeom prst="rect">
                      <a:avLst/>
                    </a:prstGeom>
                  </pic:spPr>
                </pic:pic>
              </a:graphicData>
            </a:graphic>
          </wp:inline>
        </w:drawing>
      </w: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图7  近两年生均教学日常运行支出、生均实验经费、生均实习经费</w:t>
      </w:r>
    </w:p>
    <w:p>
      <w:pPr>
        <w:jc w:val="center"/>
        <w:rPr>
          <w:rFonts w:hint="eastAsia" w:ascii="方正书宋简体" w:hAnsi="方正书宋简体" w:eastAsia="方正书宋简体" w:cs="方正书宋简体"/>
          <w:szCs w:val="21"/>
        </w:rPr>
      </w:pPr>
    </w:p>
    <w:p>
      <w:pPr>
        <w:jc w:val="left"/>
      </w:pPr>
    </w:p>
    <w:p>
      <w:pPr>
        <w:jc w:val="both"/>
        <w:rPr>
          <w:rFonts w:hint="eastAsia" w:ascii="方正书宋简体" w:hAnsi="方正书宋简体" w:eastAsia="方正书宋简体" w:cs="方正书宋简体"/>
          <w:b/>
          <w:bCs/>
          <w:sz w:val="28"/>
          <w:szCs w:val="28"/>
        </w:rPr>
      </w:pPr>
      <w:bookmarkStart w:id="9" w:name="_Toc531937764"/>
      <w:r>
        <w:rPr>
          <w:rFonts w:hint="eastAsia" w:ascii="方正书宋简体" w:hAnsi="方正书宋简体" w:eastAsia="方正书宋简体" w:cs="方正书宋简体"/>
          <w:b/>
          <w:bCs/>
          <w:sz w:val="28"/>
          <w:szCs w:val="28"/>
        </w:rPr>
        <w:t>（四）教学设施应用情况</w:t>
      </w:r>
      <w:bookmarkEnd w:id="9"/>
    </w:p>
    <w:p>
      <w:pPr>
        <w:jc w:val="both"/>
        <w:rPr>
          <w:rFonts w:hint="eastAsia" w:ascii="方正书宋简体" w:hAnsi="方正书宋简体" w:eastAsia="方正书宋简体" w:cs="方正书宋简体"/>
          <w:b w:val="0"/>
          <w:bCs w:val="0"/>
          <w:sz w:val="28"/>
          <w:szCs w:val="28"/>
        </w:rPr>
      </w:pPr>
      <w:bookmarkStart w:id="10" w:name="_Toc531937765"/>
      <w:r>
        <w:rPr>
          <w:rFonts w:hint="eastAsia" w:ascii="方正书宋简体" w:hAnsi="方正书宋简体" w:eastAsia="方正书宋简体" w:cs="方正书宋简体"/>
          <w:b w:val="0"/>
          <w:bCs w:val="0"/>
          <w:sz w:val="28"/>
          <w:szCs w:val="28"/>
        </w:rPr>
        <w:t>1.教学用房</w:t>
      </w:r>
      <w:bookmarkEnd w:id="10"/>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rPr>
      </w:pPr>
      <w:r>
        <w:rPr>
          <w:rFonts w:hint="eastAsia" w:ascii="方正书宋简体" w:hAnsi="方正书宋简体" w:eastAsia="方正书宋简体" w:cs="方正书宋简体"/>
          <w:sz w:val="24"/>
          <w:szCs w:val="24"/>
        </w:rPr>
        <w:t>根据2017年统计，学校总占地面积720106m</w:t>
      </w:r>
      <w:r>
        <w:rPr>
          <w:rFonts w:hint="eastAsia" w:ascii="方正书宋简体" w:hAnsi="方正书宋简体" w:eastAsia="方正书宋简体" w:cs="方正书宋简体"/>
          <w:sz w:val="24"/>
          <w:szCs w:val="24"/>
          <w:vertAlign w:val="superscript"/>
        </w:rPr>
        <w:t xml:space="preserve"> 2</w:t>
      </w:r>
      <w:r>
        <w:rPr>
          <w:rFonts w:hint="eastAsia" w:ascii="方正书宋简体" w:hAnsi="方正书宋简体" w:eastAsia="方正书宋简体" w:cs="方正书宋简体"/>
          <w:sz w:val="24"/>
          <w:szCs w:val="24"/>
        </w:rPr>
        <w:t>，产权占地面积为720106m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，绿化用地面积为299795.0m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，学校总建筑面积为454856m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学校现有教学行政用房面积共166071m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，其中教室面积66682m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，实验室及实习场所面积40414m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。拥有学生食堂面积为14014m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，学生宿舍面积为149569m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，体育馆面积14206m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。拥有运动场所78个，面积达到35680.76m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按全日制在校生15048</w:t>
      </w:r>
      <w:r>
        <w:rPr>
          <w:rFonts w:hint="eastAsia" w:ascii="方正书宋简体" w:hAnsi="方正书宋简体" w:eastAsia="方正书宋简体" w:cs="方正书宋简体"/>
          <w:sz w:val="24"/>
          <w:szCs w:val="24"/>
          <w:lang w:val="en-US" w:eastAsia="zh-CN"/>
        </w:rPr>
        <w:t>计算</w:t>
      </w:r>
      <w:r>
        <w:rPr>
          <w:rFonts w:hint="eastAsia" w:ascii="方正书宋简体" w:hAnsi="方正书宋简体" w:eastAsia="方正书宋简体" w:cs="方正书宋简体"/>
          <w:sz w:val="24"/>
          <w:szCs w:val="24"/>
        </w:rPr>
        <w:t>，生均学校占地面积为47.85（m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/生），生均建筑面积为30.23（m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/生），生均绿化面积为19.92（m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/生），生均教学行政用房面积为11.04（m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/生），生均实验、实习场所面积2.69（m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/生），生均宿舍面积9.94（m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/生），生均体育馆面积0.94（m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/生），生均运动场面积2.37（m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/生）。</w:t>
      </w:r>
    </w:p>
    <w:p>
      <w:pPr>
        <w:jc w:val="left"/>
      </w:pP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表5 各生均面积详细情况</w:t>
      </w:r>
    </w:p>
    <w:p>
      <w:pPr>
        <w:jc w:val="center"/>
        <w:rPr>
          <w:rFonts w:ascii="宋体" w:hAnsi="宋体" w:eastAsia="宋体"/>
          <w:sz w:val="24"/>
          <w:szCs w:val="24"/>
        </w:rPr>
      </w:pPr>
    </w:p>
    <w:tbl>
      <w:tblPr>
        <w:tblStyle w:val="13"/>
        <w:tblW w:w="8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2823"/>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blHeader/>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类别</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总面积（平方米）</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生均面积（平方米）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占地面积</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720106</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47.85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建筑面积</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454856</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绿化面积</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299795.0</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教学行政用房面积</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166071</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实验、实习场所面积</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40414.0</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宿舍面积</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149569</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体育馆面积</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14206</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82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运动场面积</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35680.76</w:t>
            </w:r>
          </w:p>
        </w:tc>
        <w:tc>
          <w:tcPr>
            <w:tcW w:w="282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22"/>
              </w:rPr>
              <w:t>2.37</w:t>
            </w:r>
          </w:p>
        </w:tc>
      </w:tr>
    </w:tbl>
    <w:p/>
    <w:p>
      <w:pPr>
        <w:keepNext w:val="0"/>
        <w:keepLines w:val="0"/>
        <w:pageBreakBefore w:val="0"/>
        <w:widowControl w:val="0"/>
        <w:kinsoku/>
        <w:wordWrap/>
        <w:overflowPunct/>
        <w:topLinePunct w:val="0"/>
        <w:autoSpaceDE/>
        <w:autoSpaceDN/>
        <w:bidi w:val="0"/>
        <w:adjustRightInd/>
        <w:snapToGrid/>
        <w:spacing w:before="160" w:beforeLines="50" w:after="96" w:afterLines="30"/>
        <w:jc w:val="both"/>
        <w:textAlignment w:val="auto"/>
        <w:rPr>
          <w:rFonts w:hint="eastAsia" w:ascii="方正书宋简体" w:hAnsi="方正书宋简体" w:eastAsia="方正书宋简体" w:cs="方正书宋简体"/>
          <w:b w:val="0"/>
          <w:bCs w:val="0"/>
          <w:sz w:val="28"/>
          <w:szCs w:val="28"/>
        </w:rPr>
      </w:pPr>
      <w:bookmarkStart w:id="11" w:name="_Toc531937766"/>
      <w:r>
        <w:rPr>
          <w:rFonts w:hint="eastAsia" w:ascii="方正书宋简体" w:hAnsi="方正书宋简体" w:eastAsia="方正书宋简体" w:cs="方正书宋简体"/>
          <w:b w:val="0"/>
          <w:bCs w:val="0"/>
          <w:sz w:val="28"/>
          <w:szCs w:val="28"/>
        </w:rPr>
        <w:t>2.教学科研仪器设备与教学实验室</w:t>
      </w:r>
      <w:bookmarkEnd w:id="11"/>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学校现有教学、科研仪器设备资产总值16103.33万元，生均教学科研仪器设备值1.05万元。当年新增教学科研仪器设备值598.51万元，新增值达到教学科研仪器设备总值的3.86%。</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本科教学实验仪器设备7831台（套），合计总值7694.9万元，其中单价10万元以上的实验仪器设备92台（套），总值2406.61万元，按本科在校生14856人计算，生均实验仪器设备值5179.66元。</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学校有省部级实验教学中心11个。</w:t>
      </w:r>
    </w:p>
    <w:p>
      <w:pPr>
        <w:keepNext w:val="0"/>
        <w:keepLines w:val="0"/>
        <w:pageBreakBefore w:val="0"/>
        <w:widowControl w:val="0"/>
        <w:kinsoku/>
        <w:wordWrap/>
        <w:overflowPunct/>
        <w:topLinePunct w:val="0"/>
        <w:autoSpaceDE/>
        <w:autoSpaceDN/>
        <w:bidi w:val="0"/>
        <w:adjustRightInd/>
        <w:snapToGrid/>
        <w:spacing w:before="160" w:beforeLines="50" w:after="96" w:afterLines="30"/>
        <w:jc w:val="both"/>
        <w:textAlignment w:val="auto"/>
        <w:rPr>
          <w:rFonts w:hint="eastAsia" w:ascii="方正书宋简体" w:hAnsi="方正书宋简体" w:eastAsia="方正书宋简体" w:cs="方正书宋简体"/>
          <w:b w:val="0"/>
          <w:bCs w:val="0"/>
          <w:sz w:val="28"/>
          <w:szCs w:val="28"/>
        </w:rPr>
      </w:pPr>
      <w:bookmarkStart w:id="12" w:name="_Toc531937767"/>
      <w:r>
        <w:rPr>
          <w:rFonts w:hint="eastAsia" w:ascii="方正书宋简体" w:hAnsi="方正书宋简体" w:eastAsia="方正书宋简体" w:cs="方正书宋简体"/>
          <w:b w:val="0"/>
          <w:bCs w:val="0"/>
          <w:sz w:val="28"/>
          <w:szCs w:val="28"/>
        </w:rPr>
        <w:t>3.图书馆及图书资源</w:t>
      </w:r>
      <w:bookmarkEnd w:id="12"/>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截至2017年底，学校拥有图书馆1个，图书馆总面积达到18519m</w:t>
      </w:r>
      <w:r>
        <w:rPr>
          <w:rFonts w:hint="eastAsia" w:ascii="方正书宋简体" w:hAnsi="方正书宋简体" w:eastAsia="方正书宋简体" w:cs="方正书宋简体"/>
          <w:sz w:val="24"/>
          <w:szCs w:val="24"/>
          <w:vertAlign w:val="superscript"/>
        </w:rPr>
        <w:t>2</w:t>
      </w:r>
      <w:r>
        <w:rPr>
          <w:rFonts w:hint="eastAsia" w:ascii="方正书宋简体" w:hAnsi="方正书宋简体" w:eastAsia="方正书宋简体" w:cs="方正书宋简体"/>
          <w:sz w:val="24"/>
          <w:szCs w:val="24"/>
        </w:rPr>
        <w:t>，阅览室座位数3200个。图书馆拥有纸质图书1081204册，当年新增28505册，生均纸质图书70.64册。图书馆还拥电子图书454595册，数据库37个。2017年图书流通量达到89,982本次，电子资源访问量11,228,758次，下载量507474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本学年度，学校继续加强图书馆建设：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一是加强纸本资源建设。2017年，图书馆新增纸质图书28,505册，装订过刊946册。馆藏纸质图书总量达到1,081,204册。阅览室订有报纸48种，中文期刊465种，加上赠送交换刊物，上架报刊总量</w:t>
      </w:r>
      <w:r>
        <w:rPr>
          <w:rFonts w:hint="eastAsia" w:ascii="方正书宋简体" w:hAnsi="方正书宋简体" w:eastAsia="方正书宋简体" w:cs="方正书宋简体"/>
          <w:sz w:val="24"/>
          <w:szCs w:val="24"/>
          <w:lang w:val="en-US" w:eastAsia="zh-CN"/>
        </w:rPr>
        <w:t>达到</w:t>
      </w:r>
      <w:r>
        <w:rPr>
          <w:rFonts w:hint="eastAsia" w:ascii="方正书宋简体" w:hAnsi="方正书宋简体" w:eastAsia="方正书宋简体" w:cs="方正书宋简体"/>
          <w:sz w:val="24"/>
          <w:szCs w:val="24"/>
        </w:rPr>
        <w:t>626种。</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二是加强电子资源建设。2017年，图书馆可使用电子资源62种。其中，购买电子资源5种，即中国知网、超星读秀知识库、歌德阅读机、国道外文专题数据库和博看移动云阅读平台，共支出79.8万元。湖南省高校数图中心团购电子资源28种，包括EBSCO综合学科学术文献数据库-ASP/BSP、维普中文科技期刊全文数据库等，支出7万元。自建与安装数据库4种，即潇湘文化专题网、自建电子书资源、汇雅电子书、方正地方志。潇湘文化专题网为永州地方文化特色数据库，涵盖舜文化、柳文化、理学文化、瑶文化与女书文化、古籍与碑刻等主题。开通试用的电子资源25种，包括</w:t>
      </w:r>
      <w:r>
        <w:rPr>
          <w:rFonts w:hint="eastAsia" w:ascii="方正书宋简体" w:hAnsi="方正书宋简体" w:eastAsia="方正书宋简体" w:cs="方正书宋简体"/>
          <w:sz w:val="24"/>
          <w:szCs w:val="24"/>
        </w:rPr>
        <w:fldChar w:fldCharType="begin"/>
      </w:r>
      <w:r>
        <w:rPr>
          <w:rFonts w:hint="eastAsia" w:ascii="方正书宋简体" w:hAnsi="方正书宋简体" w:eastAsia="方正书宋简体" w:cs="方正书宋简体"/>
          <w:sz w:val="24"/>
          <w:szCs w:val="24"/>
        </w:rPr>
        <w:instrText xml:space="preserve"> HYPERLINK "http://www.3etalk.com.cn/" </w:instrText>
      </w:r>
      <w:r>
        <w:rPr>
          <w:rFonts w:hint="eastAsia" w:ascii="方正书宋简体" w:hAnsi="方正书宋简体" w:eastAsia="方正书宋简体" w:cs="方正书宋简体"/>
          <w:sz w:val="24"/>
          <w:szCs w:val="24"/>
        </w:rPr>
        <w:fldChar w:fldCharType="separate"/>
      </w:r>
      <w:r>
        <w:rPr>
          <w:rFonts w:hint="eastAsia" w:ascii="方正书宋简体" w:hAnsi="方正书宋简体" w:eastAsia="方正书宋简体" w:cs="方正书宋简体"/>
          <w:sz w:val="24"/>
          <w:szCs w:val="24"/>
        </w:rPr>
        <w:t>3E英语智慧学习云数据库</w:t>
      </w:r>
      <w:r>
        <w:rPr>
          <w:rFonts w:hint="eastAsia" w:ascii="方正书宋简体" w:hAnsi="方正书宋简体" w:eastAsia="方正书宋简体" w:cs="方正书宋简体"/>
          <w:sz w:val="24"/>
          <w:szCs w:val="24"/>
        </w:rPr>
        <w:fldChar w:fldCharType="end"/>
      </w:r>
      <w:r>
        <w:rPr>
          <w:rFonts w:hint="eastAsia" w:ascii="方正书宋简体" w:hAnsi="方正书宋简体" w:eastAsia="方正书宋简体" w:cs="方正书宋简体"/>
          <w:sz w:val="24"/>
          <w:szCs w:val="24"/>
        </w:rPr>
        <w:t>、</w:t>
      </w:r>
      <w:bookmarkStart w:id="13" w:name="OLE_LINK5"/>
      <w:bookmarkStart w:id="14" w:name="OLE_LINK3"/>
      <w:bookmarkStart w:id="15" w:name="OLE_LINK4"/>
      <w:r>
        <w:rPr>
          <w:rFonts w:hint="eastAsia" w:ascii="方正书宋简体" w:hAnsi="方正书宋简体" w:eastAsia="方正书宋简体" w:cs="方正书宋简体"/>
          <w:sz w:val="24"/>
          <w:szCs w:val="24"/>
        </w:rPr>
        <w:t>APS数据库</w:t>
      </w:r>
      <w:bookmarkEnd w:id="13"/>
      <w:bookmarkEnd w:id="14"/>
      <w:bookmarkEnd w:id="15"/>
      <w:r>
        <w:rPr>
          <w:rFonts w:hint="eastAsia" w:ascii="方正书宋简体" w:hAnsi="方正书宋简体" w:eastAsia="方正书宋简体" w:cs="方正书宋简体"/>
          <w:sz w:val="24"/>
          <w:szCs w:val="24"/>
        </w:rPr>
        <w:t>、设计师之家资源库等。2017年，新增电子图书1.5万种。本地镜像电子图书总量达到45万种。</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三是加强地方文献资源建设。2017年，通过现采、网购、社会征集和接收捐赠等途径，共获得地方文献1864册（套），支出购书款44028.83元。地方文献部藏书总量近8000册。通过系统完成文献扫描转换150册，共计40479页。</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四是加强其他资源建设。通过积极与日本科学协会联系，成功申请成为其受赠馆，今后我校图书馆将能够从该机构免费获取到原版日文图书，更好地为学校外语教学和科研提供文献保障。</w:t>
      </w:r>
    </w:p>
    <w:p>
      <w:pPr>
        <w:keepNext w:val="0"/>
        <w:keepLines w:val="0"/>
        <w:pageBreakBefore w:val="0"/>
        <w:widowControl w:val="0"/>
        <w:kinsoku/>
        <w:wordWrap/>
        <w:overflowPunct/>
        <w:topLinePunct w:val="0"/>
        <w:autoSpaceDE/>
        <w:autoSpaceDN/>
        <w:bidi w:val="0"/>
        <w:adjustRightInd/>
        <w:snapToGrid/>
        <w:spacing w:before="160" w:beforeLines="50" w:after="96" w:afterLines="30"/>
        <w:jc w:val="both"/>
        <w:textAlignment w:val="auto"/>
        <w:rPr>
          <w:rFonts w:hint="eastAsia" w:ascii="方正书宋简体" w:hAnsi="方正书宋简体" w:eastAsia="方正书宋简体" w:cs="方正书宋简体"/>
          <w:b w:val="0"/>
          <w:bCs w:val="0"/>
          <w:sz w:val="28"/>
          <w:szCs w:val="28"/>
        </w:rPr>
      </w:pPr>
      <w:bookmarkStart w:id="16" w:name="_Toc531937768"/>
      <w:r>
        <w:rPr>
          <w:rFonts w:hint="eastAsia" w:ascii="方正书宋简体" w:hAnsi="方正书宋简体" w:eastAsia="方正书宋简体" w:cs="方正书宋简体"/>
          <w:b w:val="0"/>
          <w:bCs w:val="0"/>
          <w:sz w:val="28"/>
          <w:szCs w:val="28"/>
        </w:rPr>
        <w:t>4.信息资源</w:t>
      </w:r>
      <w:bookmarkEnd w:id="16"/>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学校校园网主干带宽达到40000Mbps。校园网出口带宽12000Mbps。网络接入信息点数量26000个。电子邮件系统用户数1500个。管理信息系统数据总量6000GB，信息化工作人员9人。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打造了“全校一网，资源共享，支持多运营商独自运营的网络校园体系”，实现了五个统一：统一光纤链路、统一公网出口、统一身份认证、统一监控管理、统一安全布防。重新规划了主机房布局，新建了交换中心、数据中心、监控中心和拥有二台静音发电机的配电中心，并将原来分离的两个主机房改造成备用机房和异地备份容灾机房。布设了近5000个AP，实现了校园无线全覆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同时，学校完成了统一信息门户、统一身份认证、数据共享与交换三大平台建设，统一了数据入口，实现了数据共享，解决了“信息孤岛”和数据冲突问题。完成了学校热水系统服务器本地化，实现了本地化结算。基于三大平台，开发了学工管理系统、数字迎新系统、科研管理系统、阳光服务平台、办公OA、邮件、掌上APP等业务管理系统；对接了教务系统、财务系统、图书管理系统、资产管理系统等，实现了学校现有管理业务数字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图书馆电子资源得到有效利用，中国知网检索10172098次，下载291685次；国道数据特色专题外文数据库检索226357次，下载180096次；超星读秀知识库检索275169次；潇湘文化专题网阅读总量约171万人次；读者进入地方文献室查找借阅资料达到1000人次。</w:t>
      </w:r>
    </w:p>
    <w:p>
      <w:pPr>
        <w:pStyle w:val="2"/>
        <w:spacing w:line="400" w:lineRule="exact"/>
        <w:jc w:val="left"/>
        <w:rPr>
          <w:rFonts w:hint="eastAsia" w:ascii="方正黑体简体" w:hAnsi="方正黑体简体" w:eastAsia="方正黑体简体" w:cs="方正黑体简体"/>
          <w:b w:val="0"/>
          <w:bCs w:val="0"/>
        </w:rPr>
      </w:pPr>
      <w:bookmarkStart w:id="17" w:name="_Toc531937769"/>
      <w:r>
        <w:rPr>
          <w:rFonts w:hint="eastAsia" w:ascii="方正黑体简体" w:hAnsi="方正黑体简体" w:eastAsia="方正黑体简体" w:cs="方正黑体简体"/>
          <w:b w:val="0"/>
          <w:bCs w:val="0"/>
          <w:sz w:val="28"/>
          <w:szCs w:val="28"/>
        </w:rPr>
        <w:t>三、教学建设与改革</w:t>
      </w:r>
      <w:bookmarkEnd w:id="17"/>
    </w:p>
    <w:p>
      <w:pPr>
        <w:pStyle w:val="3"/>
        <w:spacing w:line="400" w:lineRule="exact"/>
        <w:jc w:val="left"/>
        <w:rPr>
          <w:rFonts w:hint="eastAsia" w:ascii="方正书宋简体" w:hAnsi="方正书宋简体" w:eastAsia="方正书宋简体" w:cs="方正书宋简体"/>
          <w:b/>
          <w:bCs/>
        </w:rPr>
      </w:pPr>
      <w:bookmarkStart w:id="18" w:name="_Toc531937770"/>
      <w:r>
        <w:rPr>
          <w:rFonts w:hint="eastAsia" w:ascii="方正书宋简体" w:hAnsi="方正书宋简体" w:eastAsia="方正书宋简体" w:cs="方正书宋简体"/>
          <w:b/>
          <w:bCs/>
          <w:sz w:val="28"/>
          <w:szCs w:val="28"/>
        </w:rPr>
        <w:t>（一）专业建设</w:t>
      </w:r>
      <w:bookmarkEnd w:id="18"/>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学校现有 1 个国家特色专业，3 个湖南省“十三五”综合改革试点专业，7个省部级特色专业。当年学校招生的本科专业42个，停招的校内专业分别是：统计学、戏剧影视文学。学校专业带头人总数为43人，其中具有高级职称的38人，所占比例为88.37%，获得博士学位的15人，所占比例为34.88%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学校为加强专业建设，采取了以下措施：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一是力促专业转型发展。对2016 年立项的旅游管理、计算机科学与技术和生物工程3个湖南省“十三五”综合改革试点专业资助专业建设经费70万元/个；立项</w:t>
      </w:r>
      <w:r>
        <w:rPr>
          <w:rFonts w:hint="eastAsia" w:ascii="方正书宋简体" w:hAnsi="方正书宋简体" w:eastAsia="方正书宋简体" w:cs="方正书宋简体"/>
          <w:sz w:val="24"/>
          <w:szCs w:val="24"/>
          <w:lang w:val="en-US" w:eastAsia="zh-CN"/>
        </w:rPr>
        <w:t>建设</w:t>
      </w:r>
      <w:r>
        <w:rPr>
          <w:rFonts w:hint="eastAsia" w:ascii="方正书宋简体" w:hAnsi="方正书宋简体" w:eastAsia="方正书宋简体" w:cs="方正书宋简体"/>
          <w:sz w:val="24"/>
          <w:szCs w:val="24"/>
        </w:rPr>
        <w:t>汉语言文学、英语、土木工程、数学与应用数学、电子信息工程、音乐学6个校级转型发展试点专业，资助每个专业建设经费 10万元。根据2016年制订的省级综合改革试点专业和校级转型发展试点专业年度检查标准，对立项专业进行了年度检查，并根据检查结果提出了整改意见。以上3个省级“十三五”综合改革试点专业和6个校级转型发展试点专业在专业人才培养方案、师资队伍、</w:t>
      </w:r>
      <w:r>
        <w:rPr>
          <w:rFonts w:hint="eastAsia" w:ascii="方正书宋简体" w:hAnsi="方正书宋简体" w:eastAsia="方正书宋简体" w:cs="方正书宋简体"/>
          <w:sz w:val="24"/>
          <w:szCs w:val="24"/>
          <w:lang w:val="en-US" w:eastAsia="zh-CN"/>
        </w:rPr>
        <w:t>教学</w:t>
      </w:r>
      <w:r>
        <w:rPr>
          <w:rFonts w:hint="eastAsia" w:ascii="方正书宋简体" w:hAnsi="方正书宋简体" w:eastAsia="方正书宋简体" w:cs="方正书宋简体"/>
          <w:sz w:val="24"/>
          <w:szCs w:val="24"/>
        </w:rPr>
        <w:t>资源、教学改革、实践教学等方面的建设取得了初步成效。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二是开展专业发展动态调整。2017 年申报了摄影和建筑学两个新专业，并通过了教育部审批，其中摄影专业于2018 年开始招生；统计学和戏剧影视文学</w:t>
      </w:r>
      <w:r>
        <w:rPr>
          <w:rFonts w:hint="eastAsia" w:ascii="方正书宋简体" w:hAnsi="方正书宋简体" w:eastAsia="方正书宋简体" w:cs="方正书宋简体"/>
          <w:sz w:val="24"/>
          <w:szCs w:val="24"/>
          <w:lang w:val="en-US" w:eastAsia="zh-CN"/>
        </w:rPr>
        <w:t>专业</w:t>
      </w:r>
      <w:r>
        <w:rPr>
          <w:rFonts w:hint="eastAsia" w:ascii="方正书宋简体" w:hAnsi="方正书宋简体" w:eastAsia="方正书宋简体" w:cs="方正书宋简体"/>
          <w:sz w:val="24"/>
          <w:szCs w:val="24"/>
        </w:rPr>
        <w:t>于2018年停招。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三是继续推进专业集群建设。根据学校 2015 年设想构建的五大专业集群建设需要，围绕旅游文化，成立了旅游与文化产业学院，积极打造旅游管理和文化产业专业；根据电子信息类专业集群建设需要，调整优化电子信息工程和电子科学技术专业，积极运作大数据科学与技术专业建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四是组织修订2017级各专业培养方案。根据学校人才培养目标总体定位，结合毕业生就业状况和企业行业发展动态，制定专业培养方案修订指导性原则和实施方案，组织全校所有专业进行了培养方案的修订和完善，突出了应用型人才培养特点。2017级本科专业培养方案中，各学科培养方案学分统计如下表6所示。</w:t>
      </w:r>
    </w:p>
    <w:p>
      <w:pPr>
        <w:jc w:val="left"/>
        <w:rPr>
          <w:rFonts w:ascii="宋体" w:hAnsi="宋体" w:eastAsia="宋体"/>
          <w:sz w:val="24"/>
          <w:szCs w:val="24"/>
        </w:rPr>
      </w:pP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 xml:space="preserve">表6  </w:t>
      </w:r>
      <w:r>
        <w:rPr>
          <w:rFonts w:hint="eastAsia" w:ascii="方正书宋简体" w:hAnsi="方正书宋简体" w:eastAsia="方正书宋简体" w:cs="方正书宋简体"/>
          <w:szCs w:val="21"/>
          <w:lang w:val="en-US" w:eastAsia="zh-CN"/>
        </w:rPr>
        <w:t>全校各学科</w:t>
      </w:r>
      <w:r>
        <w:rPr>
          <w:rFonts w:hint="eastAsia" w:ascii="方正书宋简体" w:hAnsi="方正书宋简体" w:eastAsia="方正书宋简体" w:cs="方正书宋简体"/>
          <w:szCs w:val="21"/>
        </w:rPr>
        <w:t>2017级培养方案学分统计表</w:t>
      </w:r>
    </w:p>
    <w:tbl>
      <w:tblPr>
        <w:tblStyle w:val="13"/>
        <w:tblW w:w="8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213"/>
        <w:gridCol w:w="2213"/>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blHeader/>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b/>
                <w:sz w:val="18"/>
                <w:szCs w:val="18"/>
              </w:rPr>
              <w:t>学科</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b/>
                <w:sz w:val="18"/>
                <w:szCs w:val="18"/>
              </w:rPr>
              <w:t>必修课学分比例</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b/>
                <w:sz w:val="18"/>
                <w:szCs w:val="18"/>
              </w:rPr>
              <w:t>选修课学分比例</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b/>
                <w:sz w:val="18"/>
                <w:szCs w:val="18"/>
              </w:rPr>
              <w:t>实践教学学分比例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文学</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81.19</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18.81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41.32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艺术学</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82.93</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17.07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56.47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经济学</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69.03</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30.97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法学</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82.25</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17.75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34.47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工学</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78.21</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21.79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38.22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理学</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79.01</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20.99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35.94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管理学</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73.43</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26.57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教育学</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76.47</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23.53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44.85</w:t>
            </w:r>
          </w:p>
        </w:tc>
      </w:tr>
    </w:tbl>
    <w:p/>
    <w:p>
      <w:pPr>
        <w:pStyle w:val="3"/>
        <w:spacing w:line="400" w:lineRule="exact"/>
        <w:jc w:val="left"/>
        <w:rPr>
          <w:rFonts w:hint="eastAsia" w:ascii="方正书宋简体" w:hAnsi="方正书宋简体" w:eastAsia="方正书宋简体" w:cs="方正书宋简体"/>
          <w:b/>
          <w:bCs/>
          <w:sz w:val="28"/>
          <w:szCs w:val="28"/>
        </w:rPr>
      </w:pPr>
      <w:bookmarkStart w:id="19" w:name="_Toc531937771"/>
      <w:r>
        <w:rPr>
          <w:rFonts w:hint="eastAsia" w:ascii="方正书宋简体" w:hAnsi="方正书宋简体" w:eastAsia="方正书宋简体" w:cs="方正书宋简体"/>
          <w:b/>
          <w:bCs/>
          <w:sz w:val="28"/>
          <w:szCs w:val="28"/>
        </w:rPr>
        <w:t>（二）课程建设</w:t>
      </w:r>
      <w:bookmarkEnd w:id="19"/>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我校已建设7门省级精品视频公开课，3门省级精品资源共享课，60门MOOC课程。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本学年，学校共开设本科生公共必修课、公共选修课、专业课共1727门，4625门次。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学校持续推动课程建设，在强化规范管理、突出重点建设、提升建设质量等方面主要开展了以下工作：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积极建设和引进课程。2018年上半年，我校立项建设《导游实务》和《二维动画制作》两门省级精品在线开放建设课程，每门课程给予10万元资助；立项建设20个校级“课程思政”项目，每个项目给予5000元资助；立项建设10门校级研讨式课程，每门课程给予1万元资助。引进通识MOOC 课程 60 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二是加强校级课程建设督促检查。组织专家组对2016年立项的10门研讨式课程分现场听课和网络资源建设两个环节进行验收检查，8门课程顺利通过验收，2门课程延期验收。对2016年立项的3门校级名师空间课程和8门校级微课程进行了验收检查，2门名师空间课程、3门微课程未达到建设目标而延期验收。对2013年立项以来的校级课程进行了“扫尾式”检查，其中15门优质课程、3门合格课程、1门青年教改课程和6门精品视频共享课程通过验收，1门合格课程，3门优质课程未完成建设计划予以撤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三是进一步完善课程教学大纲。下发了《关于修订本科课程教学大纲的通知》（湘科院教发[2017]17号）文件，根据人才培养方案和教学计划要求，全校44个专业共修订了1000余门课程教学大纲，并以专业为单位对教学大纲进行了汇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四是积极缩小课程开设班额，提高课程开设质量。近两学年班额统计情况详见表7。</w:t>
      </w:r>
    </w:p>
    <w:p>
      <w:pPr>
        <w:jc w:val="center"/>
        <w:rPr>
          <w:rFonts w:hint="eastAsia" w:ascii="方正书宋简体" w:hAnsi="方正书宋简体" w:eastAsia="方正书宋简体" w:cs="方正书宋简体"/>
          <w:szCs w:val="21"/>
        </w:rPr>
      </w:pPr>
      <w:r>
        <w:rPr>
          <w:rFonts w:hint="eastAsia" w:ascii="方正书宋简体" w:hAnsi="方正书宋简体" w:eastAsia="方正书宋简体" w:cs="方正书宋简体"/>
          <w:szCs w:val="21"/>
        </w:rPr>
        <w:t>表7  近两学年班额统计情况</w:t>
      </w:r>
    </w:p>
    <w:tbl>
      <w:tblPr>
        <w:tblStyle w:val="13"/>
        <w:tblpPr w:leftFromText="180" w:rightFromText="180" w:vertAnchor="text" w:horzAnchor="page" w:tblpX="1770" w:tblpY="305"/>
        <w:tblOverlap w:val="never"/>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495"/>
        <w:gridCol w:w="1825"/>
        <w:gridCol w:w="182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blHead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b/>
                <w:sz w:val="18"/>
                <w:szCs w:val="18"/>
              </w:rPr>
              <w:t>班额</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b/>
                <w:sz w:val="18"/>
                <w:szCs w:val="18"/>
              </w:rPr>
              <w:t>学年</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b/>
                <w:sz w:val="18"/>
                <w:szCs w:val="18"/>
              </w:rPr>
              <w:t>公共必修课（%）</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b/>
                <w:sz w:val="18"/>
                <w:szCs w:val="18"/>
              </w:rPr>
              <w:t>公共选修课（%）</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b/>
                <w:sz w:val="18"/>
                <w:szCs w:val="18"/>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30人及以下</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本学年</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3.15</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17.31</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上学年</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1.95</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32.35</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31-60人</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本学年</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51.16</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50</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上学年</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47.79</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41.18</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61-90人</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本学年</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28.9</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14.42</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上学年</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31.24</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16.18</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90人以上</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本学年</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16.78</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18.27</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ascii="宋体" w:hAnsi="宋体" w:eastAsia="宋体" w:cs="宋体"/>
                <w:sz w:val="18"/>
                <w:szCs w:val="18"/>
              </w:rPr>
              <w:t>上学年</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19.03</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10.29</w:t>
            </w:r>
          </w:p>
        </w:tc>
        <w:tc>
          <w:tcPr>
            <w:tcW w:w="182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rPr>
                <w:sz w:val="18"/>
                <w:szCs w:val="18"/>
              </w:rPr>
            </w:pPr>
            <w:r>
              <w:rPr>
                <w:rFonts w:hint="eastAsia" w:ascii="宋体" w:hAnsi="宋体" w:eastAsia="宋体"/>
                <w:sz w:val="18"/>
                <w:szCs w:val="18"/>
              </w:rPr>
              <w:t>4.03</w:t>
            </w:r>
          </w:p>
        </w:tc>
      </w:tr>
    </w:tbl>
    <w:p>
      <w:pPr>
        <w:jc w:val="center"/>
        <w:rPr>
          <w:rFonts w:hint="eastAsia" w:ascii="方正书宋简体" w:hAnsi="方正书宋简体" w:eastAsia="方正书宋简体" w:cs="方正书宋简体"/>
          <w:szCs w:val="21"/>
        </w:rPr>
      </w:pPr>
    </w:p>
    <w:p/>
    <w:p>
      <w:pPr>
        <w:pStyle w:val="3"/>
        <w:spacing w:line="400" w:lineRule="exact"/>
        <w:jc w:val="left"/>
        <w:rPr>
          <w:rFonts w:hint="eastAsia" w:ascii="方正书宋简体" w:hAnsi="方正书宋简体" w:eastAsia="方正书宋简体" w:cs="方正书宋简体"/>
          <w:b/>
          <w:bCs/>
          <w:sz w:val="28"/>
          <w:szCs w:val="28"/>
        </w:rPr>
      </w:pPr>
      <w:bookmarkStart w:id="20" w:name="_Toc531937772"/>
      <w:r>
        <w:rPr>
          <w:rFonts w:hint="eastAsia" w:ascii="方正书宋简体" w:hAnsi="方正书宋简体" w:eastAsia="方正书宋简体" w:cs="方正书宋简体"/>
          <w:b/>
          <w:bCs/>
          <w:sz w:val="28"/>
          <w:szCs w:val="28"/>
        </w:rPr>
        <w:t>（三）教材建设</w:t>
      </w:r>
      <w:bookmarkEnd w:id="20"/>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加强教材建设，注重教师培训。鼓励和支持教师根据应用型人才培养需要，编写富有特色、应用型的课程教材和实验实训讲义，2017年，教师公开出版教材15部，其中省部级规划教材3部，编写实验实训讲义21部。组织相应课程教师参加“马工程”教材集中培训和在线培训，全年培训教师37人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规范教材选用，确保教材质量。实行教师推荐、系部讨论、院领导审核、学校教指委审定的教材选用程序；遵循先进性、适用性和优选性教材选用原则，优先选用获奖教材、规划教材，优先选用权威出版社、权威编写人员编写的经典教材，优先选用新版教材、应用型教材，确保“马工程”重点教材100%使用。本学年度，学校选用教材1100余种，其中国家级规划教材、教育部各学科专业教学指导委员会推荐教材、省部级以上获奖教材以及“马工程” 重点教材600余种。</w:t>
      </w:r>
    </w:p>
    <w:p>
      <w:pPr>
        <w:pStyle w:val="3"/>
        <w:spacing w:line="400" w:lineRule="exact"/>
        <w:jc w:val="left"/>
        <w:rPr>
          <w:rFonts w:hint="eastAsia" w:ascii="方正书宋简体" w:hAnsi="方正书宋简体" w:eastAsia="方正书宋简体" w:cs="方正书宋简体"/>
          <w:b/>
          <w:bCs/>
          <w:sz w:val="28"/>
          <w:szCs w:val="28"/>
        </w:rPr>
      </w:pPr>
      <w:bookmarkStart w:id="21" w:name="_Toc531937773"/>
      <w:r>
        <w:rPr>
          <w:rFonts w:hint="eastAsia" w:ascii="方正书宋简体" w:hAnsi="方正书宋简体" w:eastAsia="方正书宋简体" w:cs="方正书宋简体"/>
          <w:b/>
          <w:bCs/>
          <w:sz w:val="28"/>
          <w:szCs w:val="28"/>
        </w:rPr>
        <w:t>（四）实践教学</w:t>
      </w:r>
      <w:bookmarkEnd w:id="21"/>
    </w:p>
    <w:p>
      <w:pPr>
        <w:keepNext w:val="0"/>
        <w:keepLines w:val="0"/>
        <w:pageBreakBefore w:val="0"/>
        <w:widowControl w:val="0"/>
        <w:kinsoku/>
        <w:wordWrap/>
        <w:overflowPunct/>
        <w:topLinePunct w:val="0"/>
        <w:autoSpaceDE/>
        <w:autoSpaceDN/>
        <w:bidi w:val="0"/>
        <w:adjustRightInd/>
        <w:snapToGrid/>
        <w:spacing w:before="160" w:beforeLines="50" w:after="96" w:afterLines="30"/>
        <w:jc w:val="both"/>
        <w:textAlignment w:val="auto"/>
        <w:rPr>
          <w:rFonts w:hint="eastAsia" w:ascii="方正书宋简体" w:hAnsi="方正书宋简体" w:eastAsia="方正书宋简体" w:cs="方正书宋简体"/>
          <w:b w:val="0"/>
          <w:bCs w:val="0"/>
          <w:sz w:val="28"/>
          <w:szCs w:val="28"/>
        </w:rPr>
      </w:pPr>
      <w:bookmarkStart w:id="22" w:name="_Toc531937774"/>
      <w:r>
        <w:rPr>
          <w:rFonts w:hint="eastAsia" w:ascii="方正书宋简体" w:hAnsi="方正书宋简体" w:eastAsia="方正书宋简体" w:cs="方正书宋简体"/>
          <w:b w:val="0"/>
          <w:bCs w:val="0"/>
          <w:sz w:val="28"/>
          <w:szCs w:val="28"/>
        </w:rPr>
        <w:t>1.实验教学</w:t>
      </w:r>
      <w:bookmarkEnd w:id="22"/>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本学年</w:t>
      </w:r>
      <w:r>
        <w:rPr>
          <w:rFonts w:hint="eastAsia" w:ascii="方正书宋简体" w:hAnsi="方正书宋简体" w:eastAsia="方正书宋简体" w:cs="方正书宋简体"/>
          <w:sz w:val="24"/>
          <w:szCs w:val="24"/>
          <w:lang w:val="en-US" w:eastAsia="zh-CN"/>
        </w:rPr>
        <w:t>为</w:t>
      </w:r>
      <w:r>
        <w:rPr>
          <w:rFonts w:hint="eastAsia" w:ascii="方正书宋简体" w:hAnsi="方正书宋简体" w:eastAsia="方正书宋简体" w:cs="方正书宋简体"/>
          <w:sz w:val="24"/>
          <w:szCs w:val="24"/>
        </w:rPr>
        <w:t>本科生开设实验的专业课程共计380门，其中独立设置的专业实验课程120门。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学校有实验技术人员40人，具有高级职称14人，所占比例为35%，具有硕士及以上学位30人，所占比例为75%。</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加大教学实验室建设投入，不断改善实验教学条件。一是我校获得2017年中央财政支持地方高校发展专项资金1300万元，全部用于教学实验平台、实践平台的建设；二是积极推动实验教学改革，本年度共认定了250项综设性实验项目，积极鼓励和支持学院开展实验教学改革工作；三是大力推行大学生研究性学习和创新性实验计划项目，其中，获国家教育部立项10项，省级立项32项，校级立项61个项；四是加强实验实训教材建设，组织编写实验实训讲义21部；五是加强教师实验实训教学能力培养，开展实验实训教学比赛，评出一等奖2人，二等奖6人，三等奖8人。</w:t>
      </w:r>
    </w:p>
    <w:p>
      <w:pPr>
        <w:keepNext w:val="0"/>
        <w:keepLines w:val="0"/>
        <w:pageBreakBefore w:val="0"/>
        <w:widowControl w:val="0"/>
        <w:kinsoku/>
        <w:wordWrap/>
        <w:overflowPunct/>
        <w:topLinePunct w:val="0"/>
        <w:autoSpaceDE/>
        <w:autoSpaceDN/>
        <w:bidi w:val="0"/>
        <w:adjustRightInd/>
        <w:snapToGrid/>
        <w:spacing w:before="160" w:beforeLines="50" w:after="96" w:afterLines="30"/>
        <w:jc w:val="both"/>
        <w:textAlignment w:val="auto"/>
        <w:rPr>
          <w:rFonts w:hint="eastAsia" w:ascii="方正书宋简体" w:hAnsi="方正书宋简体" w:eastAsia="方正书宋简体" w:cs="方正书宋简体"/>
          <w:b w:val="0"/>
          <w:bCs w:val="0"/>
          <w:sz w:val="28"/>
          <w:szCs w:val="28"/>
        </w:rPr>
      </w:pPr>
      <w:bookmarkStart w:id="23" w:name="_Toc531937775"/>
      <w:r>
        <w:rPr>
          <w:rFonts w:hint="eastAsia" w:ascii="方正书宋简体" w:hAnsi="方正书宋简体" w:eastAsia="方正书宋简体" w:cs="方正书宋简体"/>
          <w:b w:val="0"/>
          <w:bCs w:val="0"/>
          <w:sz w:val="28"/>
          <w:szCs w:val="28"/>
        </w:rPr>
        <w:t>2.本科生毕业设计（论文）</w:t>
      </w:r>
      <w:bookmarkEnd w:id="23"/>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学年共提供了3,558个选题供学生选做毕业设计（论文）。学校共有562名教师参与了本科生毕业设计（论文）的指导工作，指导教师具有副高级以上职称的人数比例约占44.25%，学校还聘请了外聘教师担任指导老师。平均每位教师指导学生人数为6.3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加强了毕业论文（设计）管理。对12个院、38个专业、3558名2018届本科生的毕业论文（设计）质量及管理工作进行了</w:t>
      </w:r>
      <w:r>
        <w:rPr>
          <w:rFonts w:hint="eastAsia" w:ascii="方正书宋简体" w:hAnsi="方正书宋简体" w:eastAsia="方正书宋简体" w:cs="方正书宋简体"/>
          <w:sz w:val="24"/>
          <w:szCs w:val="24"/>
          <w:lang w:val="en-US" w:eastAsia="zh-CN"/>
        </w:rPr>
        <w:t>监测</w:t>
      </w:r>
      <w:r>
        <w:rPr>
          <w:rFonts w:hint="eastAsia" w:ascii="方正书宋简体" w:hAnsi="方正书宋简体" w:eastAsia="方正书宋简体" w:cs="方正书宋简体"/>
          <w:sz w:val="24"/>
          <w:szCs w:val="24"/>
        </w:rPr>
        <w:t>，对毕业论文（设计）选题、开题，中期检查以及后期评阅、答辩、成绩评定全过程进行监控。针对学生毕业论文抄袭现象，学校已引入毕业论文（设计）查重系统，确保了学生毕业论文（设计）质量；汇编了湖南科技学院2017届毕业论文（设计）选编，共收入19篇优秀毕业论文；对25名优秀毕业论文（设计）指导教师进行了表彰。</w:t>
      </w:r>
    </w:p>
    <w:p>
      <w:pPr>
        <w:keepNext w:val="0"/>
        <w:keepLines w:val="0"/>
        <w:pageBreakBefore w:val="0"/>
        <w:widowControl w:val="0"/>
        <w:kinsoku/>
        <w:wordWrap/>
        <w:overflowPunct/>
        <w:topLinePunct w:val="0"/>
        <w:autoSpaceDE/>
        <w:autoSpaceDN/>
        <w:bidi w:val="0"/>
        <w:adjustRightInd/>
        <w:snapToGrid/>
        <w:spacing w:before="160" w:beforeLines="50" w:after="96" w:afterLines="30"/>
        <w:jc w:val="both"/>
        <w:textAlignment w:val="auto"/>
        <w:rPr>
          <w:rFonts w:hint="eastAsia" w:ascii="方正书宋简体" w:hAnsi="方正书宋简体" w:eastAsia="方正书宋简体" w:cs="方正书宋简体"/>
          <w:b w:val="0"/>
          <w:bCs w:val="0"/>
          <w:sz w:val="28"/>
          <w:szCs w:val="28"/>
        </w:rPr>
      </w:pPr>
      <w:bookmarkStart w:id="24" w:name="_Toc531937776"/>
      <w:r>
        <w:rPr>
          <w:rFonts w:hint="eastAsia" w:ascii="方正书宋简体" w:hAnsi="方正书宋简体" w:eastAsia="方正书宋简体" w:cs="方正书宋简体"/>
          <w:b w:val="0"/>
          <w:bCs w:val="0"/>
          <w:sz w:val="28"/>
          <w:szCs w:val="28"/>
        </w:rPr>
        <w:t>3.实习与教学实践基地</w:t>
      </w:r>
      <w:bookmarkEnd w:id="24"/>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学校现有校外实习、实训基地215个，本学年共接纳实习学生4,611人次。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学校在实习实训教学上进行了大胆尝试和革新，实习实训工作取得了一定成绩：</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一是大力实施校内创新训练，推动校企合作基地建设。我校与永州市政府开展全面合作试点，并立项</w:t>
      </w:r>
      <w:r>
        <w:rPr>
          <w:rFonts w:hint="eastAsia" w:ascii="方正书宋简体" w:hAnsi="方正书宋简体" w:eastAsia="方正书宋简体" w:cs="方正书宋简体"/>
          <w:sz w:val="24"/>
          <w:szCs w:val="24"/>
          <w:lang w:val="en-US" w:eastAsia="zh-CN"/>
        </w:rPr>
        <w:t>为</w:t>
      </w:r>
      <w:r>
        <w:rPr>
          <w:rFonts w:hint="eastAsia" w:ascii="方正书宋简体" w:hAnsi="方正书宋简体" w:eastAsia="方正书宋简体" w:cs="方正书宋简体"/>
          <w:sz w:val="24"/>
          <w:szCs w:val="24"/>
        </w:rPr>
        <w:t>省级校地合作项目。</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二是改革实习管理模式和实习经费下拨方式。开学初，实习经费按标准下拨各教学学院；精简教育实习基地数量，加大实习基地经费投入。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三是稳步推进实习改革。对2015年立项建设的“湖南省建筑工程集团总公司东北工程局——土木工程实践基地”等8个校外实践教学基地进行了验收。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四是有序组织全校学生实习工作。组织完成了人文与社会科学学院等7个院、8个专业，为期12周，学生人数共计761名的教育实习工作；组织经济与管理学院等11个院、30个专业、2797多名学生圆满完成了2016年专业实习工作。对董加宝等20名优秀实习教师进行了表彰。其中旅游管理、产品设计、环境设计、美术学、视觉传达设计、广播电视编导、广播电视学、广告学、数字媒体技术等专业，围绕永州独具特色的地方历史文化资源和丰富的旅游资源，与本地多家旅行社及公司进行了历史文化和旅游为主体的实习；生物工程、生物技术、制药工程、食品质量与安全等专业根据生物医药、农林产品培育和深加工行业对人才的需求，与多家企业形成了实习与就业相结合的模式；电子科学与技术、电子信息工程、通信工程、计算机科学与技术、软件工程等专业，围绕大数据产业和新兴产业，直接与相关企业进行了校企合作的培养模式，实习结束后直接在相关领域进行就业；土木工程、测绘工程、机械设计制造及其自动化等专业，围绕永州地区新农村建设、新型城镇化建设工程，依托建华机械厂和猎豹汽车工业园等多个厂家进行了接地气的实习活动。汉语言文学、英语、物理学、数学与应用数学、化学、教育技术学、体育教育、思想政治教育等师范类专业，以现代教师教育改革为向导，发扬学校师范教育改革的优良传统，注重专业道德、专业技能、专业精神等综合素质和能力的培养，与永州市各地教育局和多所学校进行了为期一学期的顶岗实习或者12周的教育实习。</w:t>
      </w:r>
    </w:p>
    <w:p>
      <w:pPr>
        <w:pStyle w:val="3"/>
        <w:spacing w:line="400" w:lineRule="exact"/>
        <w:jc w:val="left"/>
        <w:rPr>
          <w:rFonts w:hint="eastAsia" w:ascii="方正书宋简体" w:hAnsi="方正书宋简体" w:eastAsia="方正书宋简体" w:cs="方正书宋简体"/>
          <w:b/>
          <w:bCs/>
          <w:sz w:val="28"/>
          <w:szCs w:val="28"/>
        </w:rPr>
      </w:pPr>
      <w:bookmarkStart w:id="25" w:name="_Toc531937777"/>
      <w:r>
        <w:rPr>
          <w:rFonts w:hint="eastAsia" w:ascii="方正书宋简体" w:hAnsi="方正书宋简体" w:eastAsia="方正书宋简体" w:cs="方正书宋简体"/>
          <w:b/>
          <w:bCs/>
          <w:sz w:val="28"/>
          <w:szCs w:val="28"/>
        </w:rPr>
        <w:t>（五）创新创业教育</w:t>
      </w:r>
      <w:bookmarkEnd w:id="25"/>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于2016年3月成立创新创业学院，由主管就业创业工作的副校长兼任院长，下设两个副院长，负责创新创业学院的教学与管理工作。学校将创新创业教育融入人才培养全过程，创新创业教育平台课程与通识教育平台课程、学科专业教育平台课程并列为全校三大课程类别，纳入各专业人才培养课程体系。拥有创新创业教育专兼职教师9人，校外兼职创业导师90人，开设创新创业教育课程2门，教师参加创新创业教育培训120人次，邀请校内外专兼职创业导师开展创新创业讲座25次。2016年获“全国高校创业指导课程特色教材课题”立项，编写、出版《大学生创新创业指导》校本教材，2017年9月起投入使用。学校于2017年运用湖南省大学生创新创业就业学院教学公益云平台和优质MOOC教学资源，采取线上线下相结合的教学模式，开展就业创业指导课程“翻转课堂”教学改革，构建了贴近本校的教学、实训、竞赛、孵化“四位一体”创新创业实践实训教学体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印发了《促进大学生创新创业工作实施方案》、《大学生创新创业奖学金评选与管理办法》、《学生工作竞赛奖励办法》、《创新创业学分积累及转换管理办法》、《众创空间、创新创业孵化基地管理办法》等鼓励大学生创新创业的相关文件。设立大学生创新创业奖学金，2017年立项31项，中后期审查立项6项；2018年立项49项，中后期审查立项4项，共发放奖学金16.7万元。立项建设国家级大学生创新创业训练项目11个，省部级大学生创新创业训练项目28个。学校拥有6个创新创业教育中心和基地，其中省级5个，校级1个。创新创业孵化基地被省科技厅认定为“湖南省众创空间”，被省教育厅评为“创新创业孵化示范基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把创新创业大赛当作一个系统工程来推进，以赛促学，以赛促建，以赛促转，积极营造创新创业氛围，着力培养创新创业型人才。学校连续荣获全省第三届、第四届“互联网+”大赛优秀组织奖；2017年荣获中国创新创业大赛（湖南赛区）、全国“大学生微创业行动”优秀组织奖。2017-2018</w:t>
      </w:r>
      <w:r>
        <w:rPr>
          <w:rFonts w:hint="eastAsia" w:ascii="方正书宋简体" w:hAnsi="方正书宋简体" w:eastAsia="方正书宋简体" w:cs="方正书宋简体"/>
          <w:sz w:val="24"/>
          <w:szCs w:val="24"/>
          <w:lang w:val="en-US" w:eastAsia="zh-CN"/>
        </w:rPr>
        <w:t>学</w:t>
      </w:r>
      <w:r>
        <w:rPr>
          <w:rFonts w:hint="eastAsia" w:ascii="方正书宋简体" w:hAnsi="方正书宋简体" w:eastAsia="方正书宋简体" w:cs="方正书宋简体"/>
          <w:sz w:val="24"/>
          <w:szCs w:val="24"/>
        </w:rPr>
        <w:t>年共获得国家级、省级创新创业大赛奖项37项：《银杏茶》项目获第三届中国“互联网+”大学生创新创业大赛国赛铜奖、省赛一等奖；《icare智能尿不湿管家》、《Korol智能人眼》、《聚葛根》、《乐居新型智能窗》4个项目获省赛二等奖。《油茶智扶——油茶籽废弃物的二次开发》项目获第四届中国“互联网+”大学生创新创业大赛国赛铜奖、省赛一等奖；《知点云数字孪生校园》、《混合纤维再生混凝土技术研发平台》、《地瓜博士》3个项目获省赛二等奖；《知点云——数字孪生校园》获第五届“创青春”中国青年创新创业大赛铜奖。</w:t>
      </w:r>
    </w:p>
    <w:p>
      <w:pPr>
        <w:pStyle w:val="3"/>
        <w:spacing w:line="400" w:lineRule="exact"/>
        <w:jc w:val="left"/>
        <w:rPr>
          <w:rFonts w:hint="eastAsia" w:ascii="方正书宋简体" w:hAnsi="方正书宋简体" w:eastAsia="方正书宋简体" w:cs="方正书宋简体"/>
          <w:b/>
          <w:bCs/>
          <w:sz w:val="28"/>
          <w:szCs w:val="28"/>
        </w:rPr>
      </w:pPr>
      <w:bookmarkStart w:id="26" w:name="_Toc531937778"/>
      <w:r>
        <w:rPr>
          <w:rFonts w:hint="eastAsia" w:ascii="方正书宋简体" w:hAnsi="方正书宋简体" w:eastAsia="方正书宋简体" w:cs="方正书宋简体"/>
          <w:b/>
          <w:bCs/>
          <w:sz w:val="28"/>
          <w:szCs w:val="28"/>
        </w:rPr>
        <w:t>（六）教学改革</w:t>
      </w:r>
      <w:bookmarkEnd w:id="26"/>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本学年学校获省部级教学成果奖2项，教师主持建设16 项省部级教学研究与改革项目，建设经费15.6万元，主持建设50项校级教学研究与改革项目，建设经费15万元。18项省级教学研究与改革项目顺利通过教育厅验收，46项校级教学研究与改革项目通过校级验收。学校现有人才培养模式创新实验区4个，参与学生5926人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在本学年度，学校主要从以下几个方面进行了教学改革。</w:t>
      </w:r>
    </w:p>
    <w:p>
      <w:pPr>
        <w:keepNext w:val="0"/>
        <w:keepLines w:val="0"/>
        <w:pageBreakBefore w:val="0"/>
        <w:widowControl w:val="0"/>
        <w:kinsoku/>
        <w:wordWrap/>
        <w:overflowPunct/>
        <w:topLinePunct w:val="0"/>
        <w:autoSpaceDE/>
        <w:autoSpaceDN/>
        <w:bidi w:val="0"/>
        <w:adjustRightInd/>
        <w:snapToGrid/>
        <w:spacing w:before="160" w:beforeLines="50" w:after="96" w:afterLines="30"/>
        <w:jc w:val="both"/>
        <w:textAlignment w:val="auto"/>
        <w:rPr>
          <w:rFonts w:hint="eastAsia" w:ascii="方正书宋简体" w:hAnsi="方正书宋简体" w:eastAsia="方正书宋简体" w:cs="方正书宋简体"/>
          <w:b w:val="0"/>
          <w:bCs w:val="0"/>
          <w:sz w:val="28"/>
          <w:szCs w:val="28"/>
        </w:rPr>
      </w:pPr>
      <w:bookmarkStart w:id="27" w:name="_Toc531937779"/>
      <w:r>
        <w:rPr>
          <w:rFonts w:hint="eastAsia" w:ascii="方正书宋简体" w:hAnsi="方正书宋简体" w:eastAsia="方正书宋简体" w:cs="方正书宋简体"/>
          <w:b w:val="0"/>
          <w:bCs w:val="0"/>
          <w:sz w:val="28"/>
          <w:szCs w:val="28"/>
        </w:rPr>
        <w:t>1.专业人才培养方案改革</w:t>
      </w:r>
      <w:bookmarkEnd w:id="27"/>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一是在2016 级专业人才培养方案的的基础上，修订了2017级人才培养方案。各专业积极开展“三对接”，结合自身特点，认真审视本专业的培养目标，进一步明确了各专业学生核心能力的培养，一方面压缩课程的数量，另一方面增加技能性课程的学时与学分。二是优化专业核心课程，突出专业技能课程，促进学生核心知识的掌握和核心能力的培养。学校根据应用型人才培养的目标和规格，要求各教学学院参照教育部本科专业目录中专业核心课程，以符合国家通用标准、适应行业标准和突显学校办学定位为目标，以适应学生的可持续发展和就业创业的需求，对现有专业核心课程进行重新审视，并进行增设、整合和撤销处理，课程门数最大不超过教育部规定核心课程门数的20%，进一步完善和优化专业核心课程设置，促进学生核心知识的掌握和核心能力的培养。三是进一步强化实践教学，突出学生实践应用能力、创新能力的培养。鼓励有条件的院部建立多层次、模块化、开放式的实践教学体系；改革实验教学内容，不断提高综合性、设计性实验的比例；加大独立设课的实践课程比例，提高实践教学学时的比例；各专业集中实践环节为 20 学分左右。</w:t>
      </w:r>
    </w:p>
    <w:p>
      <w:pPr>
        <w:keepNext w:val="0"/>
        <w:keepLines w:val="0"/>
        <w:pageBreakBefore w:val="0"/>
        <w:widowControl w:val="0"/>
        <w:kinsoku/>
        <w:wordWrap/>
        <w:overflowPunct/>
        <w:topLinePunct w:val="0"/>
        <w:autoSpaceDE/>
        <w:autoSpaceDN/>
        <w:bidi w:val="0"/>
        <w:adjustRightInd/>
        <w:snapToGrid/>
        <w:spacing w:before="160" w:beforeLines="50" w:after="96" w:afterLines="30"/>
        <w:jc w:val="both"/>
        <w:textAlignment w:val="auto"/>
        <w:rPr>
          <w:rFonts w:hint="eastAsia" w:ascii="方正书宋简体" w:hAnsi="方正书宋简体" w:eastAsia="方正书宋简体" w:cs="方正书宋简体"/>
          <w:b w:val="0"/>
          <w:bCs w:val="0"/>
          <w:sz w:val="28"/>
          <w:szCs w:val="28"/>
        </w:rPr>
      </w:pPr>
      <w:bookmarkStart w:id="28" w:name="_Toc531937780"/>
      <w:r>
        <w:rPr>
          <w:rFonts w:hint="eastAsia" w:ascii="方正书宋简体" w:hAnsi="方正书宋简体" w:eastAsia="方正书宋简体" w:cs="方正书宋简体"/>
          <w:b w:val="0"/>
          <w:bCs w:val="0"/>
          <w:sz w:val="28"/>
          <w:szCs w:val="28"/>
        </w:rPr>
        <w:t>2.教学内容改革</w:t>
      </w:r>
      <w:bookmarkEnd w:id="28"/>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加大工科专业核心课程内容改革力度，以适应行业、企业的发展需要，突出应用型人才培养特点。如电子与信息工程学院计算机科学与技术专业，《数据库原理课程设计》教学与长沙卓景京合作，引入“游戏道具管理器”；《数据通信与计算机网络实验》教学与成都国信安公司合作，引入“网络安全实操训练”；《Java程序设计课程》教学与北京千峰合作，引入“Flappy Bird制作”；专业教学以项目驱动为载体，和企业共同开发课程，改造课程，使课程内容更加贴近行业实际，提升实战性。</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二是引导教师将科研成果融入课程教学内容，编写专业特色教材。例如，土木与环境工程学院周基博士根据自己对BIM技术的研究，编写了《BIM 技术应用-Revit建模与工程应用》；电子与信息工程学院罗恩韬博士将自己的JAVA作品引入教材，编写了《JAVA程序设计基础》；张彬老师根据自己的工作实践，总结编写了《计算机组装与维修技术》等；生物与化学工程学院刘小文博士突出对永州果树的研究，出版了专著《湖南省野生果树资源》，王宗成博士根据自己在制药方面的研究成果，出版了专著《抗癌药物发展与研究》，同时还有多部与服务地方经济联系紧密的教材或专著待出版。这些教材和专著在课堂教学中得到直接和广泛应用，课程教学内容更为丰富，更有利于人才培养目标的实现。</w:t>
      </w:r>
    </w:p>
    <w:p>
      <w:pPr>
        <w:keepNext w:val="0"/>
        <w:keepLines w:val="0"/>
        <w:pageBreakBefore w:val="0"/>
        <w:widowControl w:val="0"/>
        <w:kinsoku/>
        <w:wordWrap/>
        <w:overflowPunct/>
        <w:topLinePunct w:val="0"/>
        <w:autoSpaceDE/>
        <w:autoSpaceDN/>
        <w:bidi w:val="0"/>
        <w:adjustRightInd/>
        <w:snapToGrid/>
        <w:spacing w:before="160" w:beforeLines="50" w:after="96" w:afterLines="30"/>
        <w:jc w:val="both"/>
        <w:textAlignment w:val="auto"/>
        <w:rPr>
          <w:rFonts w:hint="eastAsia" w:ascii="方正书宋简体" w:hAnsi="方正书宋简体" w:eastAsia="方正书宋简体" w:cs="方正书宋简体"/>
          <w:b w:val="0"/>
          <w:bCs w:val="0"/>
          <w:sz w:val="28"/>
          <w:szCs w:val="28"/>
        </w:rPr>
      </w:pPr>
      <w:bookmarkStart w:id="29" w:name="_Toc531937781"/>
      <w:r>
        <w:rPr>
          <w:rFonts w:hint="eastAsia" w:ascii="方正书宋简体" w:hAnsi="方正书宋简体" w:eastAsia="方正书宋简体" w:cs="方正书宋简体"/>
          <w:b w:val="0"/>
          <w:bCs w:val="0"/>
          <w:sz w:val="28"/>
          <w:szCs w:val="28"/>
        </w:rPr>
        <w:t>3.教学管理制度改革</w:t>
      </w:r>
      <w:bookmarkEnd w:id="29"/>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出台了《湖南科技学院学分制实施方案》、《湖南科技学院学分制收费管理办法》、《湖南科技学院辅修专业学士学位管理办法》和《湖南科技学院学生学籍管理办法》等系列文件，并在2017级学生中正式实施学分制和主辅修制，满足学生个性化发展需求。</w:t>
      </w:r>
    </w:p>
    <w:p>
      <w:pPr>
        <w:keepNext w:val="0"/>
        <w:keepLines w:val="0"/>
        <w:pageBreakBefore w:val="0"/>
        <w:widowControl w:val="0"/>
        <w:kinsoku/>
        <w:wordWrap/>
        <w:overflowPunct/>
        <w:topLinePunct w:val="0"/>
        <w:autoSpaceDE/>
        <w:autoSpaceDN/>
        <w:bidi w:val="0"/>
        <w:adjustRightInd/>
        <w:snapToGrid/>
        <w:spacing w:before="160" w:beforeLines="50" w:after="96" w:afterLines="30"/>
        <w:jc w:val="both"/>
        <w:textAlignment w:val="auto"/>
        <w:rPr>
          <w:rFonts w:hint="eastAsia" w:ascii="方正书宋简体" w:hAnsi="方正书宋简体" w:eastAsia="方正书宋简体" w:cs="方正书宋简体"/>
          <w:b w:val="0"/>
          <w:bCs w:val="0"/>
          <w:sz w:val="28"/>
          <w:szCs w:val="28"/>
        </w:rPr>
      </w:pPr>
      <w:bookmarkStart w:id="30" w:name="_Toc531937782"/>
      <w:r>
        <w:rPr>
          <w:rFonts w:hint="eastAsia" w:ascii="方正书宋简体" w:hAnsi="方正书宋简体" w:eastAsia="方正书宋简体" w:cs="方正书宋简体"/>
          <w:b w:val="0"/>
          <w:bCs w:val="0"/>
          <w:sz w:val="28"/>
          <w:szCs w:val="28"/>
        </w:rPr>
        <w:t>4.教学方法改革</w:t>
      </w:r>
      <w:bookmarkEnd w:id="30"/>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强调教师应以培养学生的创新能力与解决问题的能力为目标，充分利用信息化手段，积极开展研讨式教学和案例式教学。一是组织了省课堂教学比赛校内选拔工作和参赛教师培训工作，对选拔推荐到省教育厅参加决赛的教师，学校组织获得省课堂教学比赛一等奖的教师和经验丰富的教授现场听评课，从而提高参赛教师的课堂教学质量，最终参赛选手获得省级一等奖 2项，三等奖 2 项；二是为了推进教学方法改革，学校组织了研讨式教学比赛，研讨式教学极大的提高了学生的参与度，教师和学生对比赛反映良好，建设方案详细可行，对教学比赛表现较好的 10 门课程立项为研讨式教学课程，建设期为 1 年，资助 1 万元；三是组织开展了信息化教学比赛，通过各教学学院选拔推荐，共13名专任教师参加校信息化教学比赛决赛，参赛作品的数量和质量相比以往均有明显提高。</w:t>
      </w:r>
    </w:p>
    <w:p>
      <w:pPr>
        <w:pStyle w:val="2"/>
        <w:spacing w:line="400" w:lineRule="exact"/>
        <w:jc w:val="left"/>
        <w:rPr>
          <w:rFonts w:hint="eastAsia" w:ascii="方正黑体简体" w:hAnsi="方正黑体简体" w:eastAsia="方正黑体简体" w:cs="方正黑体简体"/>
          <w:b w:val="0"/>
          <w:bCs w:val="0"/>
          <w:sz w:val="28"/>
          <w:szCs w:val="28"/>
        </w:rPr>
      </w:pPr>
      <w:bookmarkStart w:id="31" w:name="_Toc531937783"/>
      <w:r>
        <w:rPr>
          <w:rFonts w:hint="eastAsia" w:ascii="方正黑体简体" w:hAnsi="方正黑体简体" w:eastAsia="方正黑体简体" w:cs="方正黑体简体"/>
          <w:b w:val="0"/>
          <w:bCs w:val="0"/>
          <w:sz w:val="28"/>
          <w:szCs w:val="28"/>
        </w:rPr>
        <w:t>四、质量保障</w:t>
      </w:r>
      <w:bookmarkEnd w:id="31"/>
    </w:p>
    <w:p>
      <w:pPr>
        <w:pStyle w:val="3"/>
        <w:spacing w:line="400" w:lineRule="exact"/>
        <w:jc w:val="left"/>
        <w:rPr>
          <w:rFonts w:hint="eastAsia" w:ascii="方正书宋简体" w:hAnsi="方正书宋简体" w:eastAsia="方正书宋简体" w:cs="方正书宋简体"/>
          <w:b/>
          <w:bCs/>
          <w:sz w:val="28"/>
          <w:szCs w:val="28"/>
        </w:rPr>
      </w:pPr>
      <w:bookmarkStart w:id="32" w:name="_Toc531937784"/>
      <w:bookmarkStart w:id="33" w:name="_Toc500747545"/>
      <w:bookmarkStart w:id="34" w:name="_Toc501439094"/>
      <w:r>
        <w:rPr>
          <w:rFonts w:hint="eastAsia" w:ascii="方正书宋简体" w:hAnsi="方正书宋简体" w:eastAsia="方正书宋简体" w:cs="方正书宋简体"/>
          <w:b/>
          <w:bCs/>
          <w:sz w:val="28"/>
          <w:szCs w:val="28"/>
        </w:rPr>
        <w:t>（一）突出教学中心地位</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1.学校领导重视本科教学工作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领导坚持人才培养根本任务，坚持教学工作中心地位，坚持教学质量一把手工程。一是明确规定校、院党政一把手是本科教学质量的第一责任人，主管教学的副校长、副院长是教学质量的直接责任人；二是始终坚持将教育教学工作列入党委、行政的重要议事日程，并采取有力措施狠抓落实，定期召开本科教学工作专题会议。专题学习全国全省教育工作会议、新时代全国高等学校本科教育工作会议精神，并组织人才工作和教师队伍建设、建设高水平本科教育保障体系等专题研讨，制定学校教育教学改革措施。三是坚持校领导联系学院制度、联系班级制度，每</w:t>
      </w:r>
      <w:r>
        <w:rPr>
          <w:rFonts w:hint="eastAsia" w:ascii="方正书宋简体" w:hAnsi="方正书宋简体" w:eastAsia="方正书宋简体" w:cs="方正书宋简体"/>
          <w:sz w:val="24"/>
          <w:szCs w:val="24"/>
          <w:lang w:val="en-US" w:eastAsia="zh-CN"/>
        </w:rPr>
        <w:t>名</w:t>
      </w:r>
      <w:r>
        <w:rPr>
          <w:rFonts w:hint="eastAsia" w:ascii="方正书宋简体" w:hAnsi="方正书宋简体" w:eastAsia="方正书宋简体" w:cs="方正书宋简体"/>
          <w:sz w:val="24"/>
          <w:szCs w:val="24"/>
        </w:rPr>
        <w:t>校领导联系1-2个教学学院，及时指导学院解决教学工作中存在的困难和问题。四是校领导严格执行听课和教学调研制度。采取集体听课和分散听课方式，深入课堂教学一线，有力地促进了本科人才培养质量的提高。</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82" w:firstLineChars="200"/>
        <w:jc w:val="left"/>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激励机制突出教学中心地位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制定《湖南科技学院教职工荣誉称号授予及表彰办法》，大力开展“优秀教学质量奖、教书育人好教师、师德先进个人、优秀教师、先进教育工作者”等评选表彰活动，扎实开展“师德师风建设年”活动，举行师德师风报告会，树立典型，激励教师将主要精力投入教学，强化教师对人才培养工作的责任心和荣誉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方正书宋简体" w:hAnsi="方正书宋简体" w:eastAsia="方正书宋简体" w:cs="方正书宋简体"/>
          <w:b/>
          <w:sz w:val="24"/>
          <w:szCs w:val="24"/>
          <w:lang w:val="en-US" w:eastAsia="zh-CN"/>
        </w:rPr>
      </w:pPr>
      <w:r>
        <w:rPr>
          <w:rFonts w:hint="eastAsia" w:ascii="方正书宋简体" w:hAnsi="方正书宋简体" w:eastAsia="方正书宋简体" w:cs="方正书宋简体"/>
          <w:b/>
          <w:sz w:val="24"/>
          <w:szCs w:val="24"/>
        </w:rPr>
        <w:t>3.师资队伍建设促进教学质量</w:t>
      </w:r>
      <w:r>
        <w:rPr>
          <w:rFonts w:hint="eastAsia" w:ascii="方正书宋简体" w:hAnsi="方正书宋简体" w:eastAsia="方正书宋简体" w:cs="方正书宋简体"/>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制定《引进高层次人才工作计划》、《人才工作办公室组建方案》、《关于进一步加强高层次人才服务工作的实施办法》、《关于提高高层次人才待遇的实施方案》、《标志性科研成果折算教学工作量实施办法》、《湖南科技学院人才引进办法（修订）》、《柔性引进人才和借智工作实施办法》、《关怀青年教师成长的实施办法》、《加强与在职学习人员联系的工作方案》、《“青苗支持计划”实施方案》等10余项政策和措施，大力引进高层次人才，着力加强师资队伍建设，加大教师培养力度，有力促进本科教学质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4.审核评估推进教学建设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制定《湖南科技学院2018—2019年本科教学工作审核评估实施方案》《湖南科技学院本科专业综合评价工作方案》，坚持问题导向，开展校内本科教学工作评建和校内专业综合评价工作；邀请专家进校指导，安排专人赴省内外高校学习本科教学工作审核评估经验，以评促建，强化整改，加强了学校教学工作顶层设计，逐步建立和完善了学校内部质量保障体系，以及学校各专业自我发展、自我约束的动态调整机制，强化学校办学合理定位，强化学校人才培养中心地位，强化质量保障体系建设，全力推动本科教学工作审核评估有序开展。</w:t>
      </w:r>
    </w:p>
    <w:p>
      <w:pPr>
        <w:pStyle w:val="3"/>
        <w:spacing w:line="400" w:lineRule="exact"/>
        <w:jc w:val="left"/>
        <w:rPr>
          <w:rFonts w:hint="eastAsia" w:ascii="方正书宋简体" w:hAnsi="方正书宋简体" w:eastAsia="方正书宋简体" w:cs="方正书宋简体"/>
          <w:b/>
          <w:bCs/>
          <w:sz w:val="28"/>
          <w:szCs w:val="28"/>
        </w:rPr>
      </w:pPr>
      <w:bookmarkStart w:id="35" w:name="_Toc500747546"/>
      <w:bookmarkStart w:id="36" w:name="_Toc501439095"/>
      <w:bookmarkStart w:id="37" w:name="_Toc531937785"/>
      <w:bookmarkStart w:id="38" w:name="_Toc531794544"/>
      <w:r>
        <w:rPr>
          <w:rFonts w:hint="eastAsia" w:ascii="方正书宋简体" w:hAnsi="方正书宋简体" w:eastAsia="方正书宋简体" w:cs="方正书宋简体"/>
          <w:b/>
          <w:bCs/>
          <w:sz w:val="28"/>
          <w:szCs w:val="28"/>
        </w:rPr>
        <w:t>（二）质量保障</w:t>
      </w:r>
      <w:bookmarkEnd w:id="35"/>
      <w:bookmarkEnd w:id="36"/>
      <w:r>
        <w:rPr>
          <w:rFonts w:hint="eastAsia" w:ascii="方正书宋简体" w:hAnsi="方正书宋简体" w:eastAsia="方正书宋简体" w:cs="方正书宋简体"/>
          <w:b/>
          <w:bCs/>
          <w:sz w:val="28"/>
          <w:szCs w:val="28"/>
        </w:rPr>
        <w:t>体系</w:t>
      </w:r>
      <w:bookmarkEnd w:id="37"/>
      <w:bookmarkEnd w:id="38"/>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1、强化质量保障组织建设</w:t>
      </w:r>
    </w:p>
    <w:p>
      <w:pPr>
        <w:keepNext w:val="0"/>
        <w:keepLines w:val="0"/>
        <w:pageBreakBefore w:val="0"/>
        <w:widowControl w:val="0"/>
        <w:kinsoku/>
        <w:wordWrap/>
        <w:overflowPunct/>
        <w:topLinePunct w:val="0"/>
        <w:autoSpaceDE/>
        <w:autoSpaceDN/>
        <w:bidi w:val="0"/>
        <w:adjustRightInd/>
        <w:snapToGrid/>
        <w:spacing w:line="380" w:lineRule="exact"/>
        <w:ind w:firstLine="470" w:firstLineChars="196"/>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设立了由校长领导、主管副校长具体负责的校院两级教学质量监控组织机构。主要包括学校教学指导委员会、教学质量管理处、学生教学信息员工作站等组织机构，对教学工作的研究决策、质量监控、信息反馈、质量改进等工作，由教学质量管理处和教务处具体实施。教学院系层面的质量监控组织机构主要包括教学学院教学工作领导小组、教学督导组、学生教学信息员组织，主要负责实施本院系的教学质量监控，对教学中存在的问题进行整改、落实。</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二是成立第二届教学督导团。学校制定了《湖南科技学院教学督导员章程》，2015年组建的学校第一届教学督导团，已于2018年上期到期，学校按章程重新组建了第二届教学督导团，选聘了一批有丰富教学经验和院系教学管理经历的老教授担任教学督导，对教学行使检查、监督、指导、咨询等职能。</w:t>
      </w:r>
    </w:p>
    <w:p>
      <w:pPr>
        <w:keepNext w:val="0"/>
        <w:keepLines w:val="0"/>
        <w:pageBreakBefore w:val="0"/>
        <w:widowControl w:val="0"/>
        <w:kinsoku/>
        <w:wordWrap/>
        <w:overflowPunct/>
        <w:topLinePunct w:val="0"/>
        <w:autoSpaceDE/>
        <w:autoSpaceDN/>
        <w:bidi w:val="0"/>
        <w:adjustRightInd/>
        <w:snapToGrid/>
        <w:spacing w:line="380" w:lineRule="exact"/>
        <w:ind w:firstLine="48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三是成立了湖南科技学院学生管理委员会和家长管理委员会两个机构，专门负责对全校教学质量保障体系运行进行监控和反馈，及时将信息送达相关部门和学校领导，全面化解教学质量保障体系运行中的矛盾与冲突，并从学生和家长的角度提出建设性意见，以改进教学工作，提高教学质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四是各二级教学学院成立了教学指导委员会，负责人才培养方案的修订和人才培养质量目标及标准的制定。同时，学校在理事会和校友会的基础上，遴选部分优秀校友，邀请各个行业及用人招聘单位的部分负责人为学院的发展及人才培养提供建议和参考意见，让各教学学院各专业人才培养更贴近市场需要。</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2、加强质量管理队伍建设</w:t>
      </w:r>
    </w:p>
    <w:p>
      <w:pPr>
        <w:keepNext w:val="0"/>
        <w:keepLines w:val="0"/>
        <w:pageBreakBefore w:val="0"/>
        <w:widowControl w:val="0"/>
        <w:kinsoku/>
        <w:wordWrap/>
        <w:overflowPunct/>
        <w:topLinePunct w:val="0"/>
        <w:autoSpaceDE/>
        <w:autoSpaceDN/>
        <w:bidi w:val="0"/>
        <w:adjustRightInd/>
        <w:snapToGrid/>
        <w:spacing w:line="380" w:lineRule="exact"/>
        <w:ind w:firstLine="470" w:firstLineChars="196"/>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重视教学管理队伍建设，教学管理人员素质不断提升。我校现有校领导10名。其中具有正高级职称8名，所占比例为80%，具有博士学位4名，所占比例为40%。校级教学管理人员16人，其中高级职称7人，所占比例为43.75%；硕士及以上学位13人，所占比例为81.25%。院级教学管理人员45人，其中高级职称27人，所占比例为60%；硕士及以上学位36人，所占比例为80%。教学管理人员获得省部级教学成果奖2项，发表教学研究类论文22篇，教学管理类论文12篇。</w:t>
      </w:r>
    </w:p>
    <w:p>
      <w:pPr>
        <w:keepNext w:val="0"/>
        <w:keepLines w:val="0"/>
        <w:pageBreakBefore w:val="0"/>
        <w:widowControl w:val="0"/>
        <w:kinsoku/>
        <w:wordWrap/>
        <w:overflowPunct/>
        <w:topLinePunct w:val="0"/>
        <w:autoSpaceDE/>
        <w:autoSpaceDN/>
        <w:bidi w:val="0"/>
        <w:adjustRightInd/>
        <w:snapToGrid/>
        <w:spacing w:line="380" w:lineRule="exact"/>
        <w:ind w:firstLine="470" w:firstLineChars="196"/>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二是学生管理队伍结构日趋合理，本科教学质量提升保障有力。学校有专职学生辅导员44人，按本科生数14856计算，学生与辅导员的比例为338:1。学生辅导员中，具有中级职称的4人，所占比例为9.09%，具有研究生学历的37人，所占比例为84.09%，具有大学本科学历的7人，所占比例为15.91%。学校配备专职的心理咨询工作人员3名，学生与心理咨询工作人员之比为5102.267:1。</w:t>
      </w:r>
    </w:p>
    <w:p>
      <w:pPr>
        <w:pStyle w:val="3"/>
        <w:spacing w:line="400" w:lineRule="exact"/>
        <w:jc w:val="left"/>
        <w:rPr>
          <w:rFonts w:hint="eastAsia" w:ascii="方正书宋简体" w:hAnsi="方正书宋简体" w:eastAsia="方正书宋简体" w:cs="方正书宋简体"/>
          <w:b/>
          <w:bCs/>
          <w:sz w:val="28"/>
          <w:szCs w:val="28"/>
        </w:rPr>
      </w:pPr>
      <w:bookmarkStart w:id="39" w:name="_Toc531794545"/>
      <w:bookmarkStart w:id="40" w:name="_Toc531937786"/>
      <w:r>
        <w:rPr>
          <w:rFonts w:hint="eastAsia" w:ascii="方正书宋简体" w:hAnsi="方正书宋简体" w:eastAsia="方正书宋简体" w:cs="方正书宋简体"/>
          <w:b/>
          <w:bCs/>
          <w:sz w:val="28"/>
          <w:szCs w:val="28"/>
        </w:rPr>
        <w:t>（三）质量管理标准</w:t>
      </w:r>
      <w:bookmarkEnd w:id="39"/>
      <w:bookmarkEnd w:id="40"/>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1、完善人才培养质量标准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根据国家经济社会发展需求、教育教学改革发展趋势和行业发展要求，在充分调研历届毕业生就业创业质量和优秀校友代表座谈的基础上，对学校的办学目标、办学思想、服务面向等方面进行有效调整，组织各教学学院对2017级和2018级各专业人才培养方案进行修订和完善，对专业培养方案的指导思想、制定原则、培养目标、课程体系构建、集中实践教学环节设计等方面进行精准定位和明确规定，力求各专业人才培养定位准确、规格适当、课程有效、实践突出，做到学校重视、教师熟知、学生明白、家长放心、社会满意，有效保障人才培养质量，提升学生就业创业能力。</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2、制定教学各环节质量标准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根据办学思想、人才培养目标定位、服务面向定位等要求，针对具体的教学环节，制定了科学合理的质量标准，其中在理论教学方面，制定了《湖南科技学院课堂教学质量标准》、《湖南科技学院课堂教学质量评价办法》等；在实践教学方面，修订完善了《湖南科技学院实验（实训）教学质量标准》、《湖南科技学院专业见习与实习质量标准》、《湖南科技学院本科毕业论文（设计）工作管理条例》、《湖南科技学院教育实习管理办法》、《湖南科技学院专业实习管理办法》等；组织各教学学院，对各专业培养目标和培养规格等方面进行了深入细致的讨论，进一步明确了专业人才培养定位，有力地促进了人才培养质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3、完备质量保障制度建设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湖南科技学院章程》为全校各单位和各教学环节制定相应的管理规定提供了依据，保证全校工作以教学为中心，落实立德树人根本任务；学校为进一步加强教学制度专项建设，强化教学过程管理，学校组织教务处、教学质量管理处、实验实训中心根据教学管理和质量管理需要，共同商讨编制了《湖南科技学院教学管理规章制度汇编》，其中分为教学综合类（含奖励）、教学运行、实践教学、学籍与学位、教学研究与改革、教学质量与监控等六大模块，为教学各环节运行和质量控制提供决策依据；组织各个教学学院进行了本院规章制度的修订，并汇编成册，内容涵盖学院办学思路和定位、师资队伍建设规划、专业建设规划、课程建设实施方案、教学日常运行等方面，为提高各教学学院人才培养质量提供了制度保障。</w:t>
      </w:r>
    </w:p>
    <w:p>
      <w:pPr>
        <w:pStyle w:val="3"/>
        <w:spacing w:line="400" w:lineRule="exact"/>
        <w:jc w:val="left"/>
        <w:rPr>
          <w:rFonts w:hint="eastAsia" w:ascii="方正书宋简体" w:hAnsi="方正书宋简体" w:eastAsia="方正书宋简体" w:cs="方正书宋简体"/>
          <w:b/>
          <w:bCs/>
          <w:sz w:val="28"/>
          <w:szCs w:val="28"/>
        </w:rPr>
      </w:pPr>
      <w:bookmarkStart w:id="41" w:name="_Toc501439096"/>
      <w:bookmarkStart w:id="42" w:name="_Toc531794546"/>
      <w:bookmarkStart w:id="43" w:name="_Toc500747547"/>
      <w:bookmarkStart w:id="44" w:name="_Toc531937787"/>
      <w:r>
        <w:rPr>
          <w:rFonts w:hint="eastAsia" w:ascii="方正书宋简体" w:hAnsi="方正书宋简体" w:eastAsia="方正书宋简体" w:cs="方正书宋简体"/>
          <w:b/>
          <w:bCs/>
          <w:sz w:val="28"/>
          <w:szCs w:val="28"/>
        </w:rPr>
        <w:t>（四）质量管理</w:t>
      </w:r>
      <w:bookmarkEnd w:id="41"/>
      <w:bookmarkEnd w:id="42"/>
      <w:bookmarkEnd w:id="43"/>
      <w:r>
        <w:rPr>
          <w:rFonts w:hint="eastAsia" w:ascii="方正书宋简体" w:hAnsi="方正书宋简体" w:eastAsia="方正书宋简体" w:cs="方正书宋简体"/>
          <w:b/>
          <w:bCs/>
          <w:sz w:val="28"/>
          <w:szCs w:val="28"/>
        </w:rPr>
        <w:t>措施</w:t>
      </w:r>
      <w:bookmarkEnd w:id="44"/>
    </w:p>
    <w:p>
      <w:pPr>
        <w:keepNext w:val="0"/>
        <w:keepLines w:val="0"/>
        <w:pageBreakBefore w:val="0"/>
        <w:widowControl w:val="0"/>
        <w:kinsoku/>
        <w:wordWrap/>
        <w:overflowPunct/>
        <w:topLinePunct w:val="0"/>
        <w:autoSpaceDE/>
        <w:autoSpaceDN/>
        <w:bidi w:val="0"/>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1、组织专家听课和评课工作</w:t>
      </w:r>
    </w:p>
    <w:p>
      <w:pPr>
        <w:keepNext w:val="0"/>
        <w:keepLines w:val="0"/>
        <w:pageBreakBefore w:val="0"/>
        <w:widowControl w:val="0"/>
        <w:kinsoku/>
        <w:wordWrap/>
        <w:overflowPunct/>
        <w:topLinePunct w:val="0"/>
        <w:autoSpaceDE/>
        <w:autoSpaceDN/>
        <w:bidi w:val="0"/>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学年度，学校教学督导团重点开展了对新进教师、非专任教师及其他随机听课教师的听、评课活动，听课对象共计196位，同时积极参与了“2017年优秀教学质量奖”评选活动，听、评课共计1226节次。通过听评课活动的开展，促进了教师课堂教学质量的提升，全校教风学风进一步改善。</w:t>
      </w:r>
    </w:p>
    <w:p>
      <w:pPr>
        <w:keepNext w:val="0"/>
        <w:keepLines w:val="0"/>
        <w:pageBreakBefore w:val="0"/>
        <w:widowControl w:val="0"/>
        <w:kinsoku/>
        <w:wordWrap/>
        <w:overflowPunct/>
        <w:topLinePunct w:val="0"/>
        <w:autoSpaceDE/>
        <w:autoSpaceDN/>
        <w:bidi w:val="0"/>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2、开展日常教学检查和专项检查</w:t>
      </w:r>
    </w:p>
    <w:p>
      <w:pPr>
        <w:keepNext w:val="0"/>
        <w:keepLines w:val="0"/>
        <w:pageBreakBefore w:val="0"/>
        <w:widowControl w:val="0"/>
        <w:kinsoku/>
        <w:wordWrap/>
        <w:overflowPunct/>
        <w:topLinePunct w:val="0"/>
        <w:autoSpaceDE/>
        <w:autoSpaceDN/>
        <w:bidi w:val="0"/>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我校制定了《湖南科技学院教学质量监控工作条例》，教学质量管理处、教务处、学生处等部门联合对教学进行日常和专项检查，采取听课、巡查、视频检查等多种形式，对课堂教学进行督查；二是组织全体校领导到教学一线听课，了解教学运行和教师课堂教学情况，2018年上期共组织了两次大型的校领导集体听课活动；三是通过视频监控开展日常教学秩序检查，主要针对教师常规教学情况和学生上课情况进行实时检查。</w:t>
      </w:r>
    </w:p>
    <w:p>
      <w:pPr>
        <w:keepNext w:val="0"/>
        <w:keepLines w:val="0"/>
        <w:pageBreakBefore w:val="0"/>
        <w:widowControl w:val="0"/>
        <w:kinsoku/>
        <w:wordWrap/>
        <w:overflowPunct/>
        <w:topLinePunct w:val="0"/>
        <w:autoSpaceDE/>
        <w:autoSpaceDN/>
        <w:bidi w:val="0"/>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3、开展教学文档自查自建工作</w:t>
      </w:r>
    </w:p>
    <w:p>
      <w:pPr>
        <w:keepNext w:val="0"/>
        <w:keepLines w:val="0"/>
        <w:pageBreakBefore w:val="0"/>
        <w:widowControl w:val="0"/>
        <w:kinsoku/>
        <w:wordWrap/>
        <w:overflowPunct/>
        <w:topLinePunct w:val="0"/>
        <w:autoSpaceDE/>
        <w:autoSpaceDN/>
        <w:bidi w:val="0"/>
        <w:spacing w:line="380" w:lineRule="exact"/>
        <w:ind w:firstLine="480" w:firstLineChars="200"/>
        <w:jc w:val="both"/>
        <w:textAlignment w:val="auto"/>
        <w:rPr>
          <w:rFonts w:hint="eastAsia" w:ascii="方正书宋简体" w:hAnsi="方正书宋简体" w:eastAsia="方正书宋简体" w:cs="方正书宋简体"/>
          <w:color w:val="FF0000"/>
          <w:sz w:val="24"/>
          <w:szCs w:val="24"/>
        </w:rPr>
      </w:pPr>
      <w:r>
        <w:rPr>
          <w:rFonts w:hint="eastAsia" w:ascii="方正书宋简体" w:hAnsi="方正书宋简体" w:eastAsia="方正书宋简体" w:cs="方正书宋简体"/>
          <w:sz w:val="24"/>
          <w:szCs w:val="24"/>
        </w:rPr>
        <w:t>为了规范教学文档管理，促进教学质量提升，学校组织各教学学院对2016-2017学年和2017-2018学年面向本科各专业开设的所有课程的考核试卷、2017届和2018届本科毕业生的毕业论文（设计）、院系教学管理文件制度及教师个人教学文件等教学文档进行全面检查。促进了院系加强教学制度体系建设，建立教学激励和自我约束机制，充分调动教师、系部和学院的积极性，以提高教学质量和人才培养质量。</w:t>
      </w:r>
    </w:p>
    <w:p>
      <w:pPr>
        <w:keepNext w:val="0"/>
        <w:keepLines w:val="0"/>
        <w:pageBreakBefore w:val="0"/>
        <w:widowControl w:val="0"/>
        <w:kinsoku/>
        <w:wordWrap/>
        <w:overflowPunct/>
        <w:topLinePunct w:val="0"/>
        <w:autoSpaceDE/>
        <w:autoSpaceDN/>
        <w:bidi w:val="0"/>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4、开展毕业论文质量和管理专项检查及校级抽样答辩工作</w:t>
      </w:r>
    </w:p>
    <w:p>
      <w:pPr>
        <w:keepNext w:val="0"/>
        <w:keepLines w:val="0"/>
        <w:pageBreakBefore w:val="0"/>
        <w:widowControl w:val="0"/>
        <w:kinsoku/>
        <w:wordWrap/>
        <w:overflowPunct/>
        <w:topLinePunct w:val="0"/>
        <w:autoSpaceDE/>
        <w:autoSpaceDN/>
        <w:bidi w:val="0"/>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2017年下期，教学质量管理处组织专家对12个教学学院37个本科专业的毕业论文（设计）进行检查。毕业论文（设计）质量检查采用校内和校外专家共同检查的方式，按各专业毕业生人数的10%共抽查了362份毕业论文（设计）进行检查。其中《国际经济与贸易》、《土木工程》、《数字媒体技术》等8个专业聘请校外专家进行质量检查，全年共对362篇毕业论文（设计）质量进行了检查分析，并将检查结果在全校进行通报，要求各学院和专业抓整改，促落实，切实提高毕业论文管理效率和质量。</w:t>
      </w:r>
    </w:p>
    <w:p>
      <w:pPr>
        <w:keepNext w:val="0"/>
        <w:keepLines w:val="0"/>
        <w:pageBreakBefore w:val="0"/>
        <w:widowControl w:val="0"/>
        <w:kinsoku/>
        <w:wordWrap/>
        <w:overflowPunct/>
        <w:topLinePunct w:val="0"/>
        <w:autoSpaceDE/>
        <w:autoSpaceDN/>
        <w:bidi w:val="0"/>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积极开展2018年毕业论文（设计）校级答辩工作。本次答辩共聘请了校、内外专家20多人，分为五个小组，随机抽取汉语言文学、电子信息工程、体育教育等15个专业的124名学生进行校级毕业论文（设计）进行答辩。毕业论文校级抽样答辩抓住了本科教学人才培养质量的关键环节，是我校提高人才培养质量的重要举措，已取得明显成效。</w:t>
      </w:r>
    </w:p>
    <w:p>
      <w:pPr>
        <w:keepNext w:val="0"/>
        <w:keepLines w:val="0"/>
        <w:pageBreakBefore w:val="0"/>
        <w:widowControl w:val="0"/>
        <w:kinsoku/>
        <w:wordWrap/>
        <w:overflowPunct/>
        <w:topLinePunct w:val="0"/>
        <w:autoSpaceDE/>
        <w:autoSpaceDN/>
        <w:bidi w:val="0"/>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5、组织完成省专业综合评价和校内专业评估工作</w:t>
      </w:r>
    </w:p>
    <w:p>
      <w:pPr>
        <w:keepNext w:val="0"/>
        <w:keepLines w:val="0"/>
        <w:pageBreakBefore w:val="0"/>
        <w:widowControl w:val="0"/>
        <w:kinsoku/>
        <w:wordWrap/>
        <w:overflowPunct/>
        <w:topLinePunct w:val="0"/>
        <w:autoSpaceDE/>
        <w:autoSpaceDN/>
        <w:bidi w:val="0"/>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根据省教育厅《关于开展湖南省普通高校本科专业综合评价工作的通知》精神，汇编了《湖南科技学院专业综合评价资料汇编》，成立了专业评价工作领导小组。一是组织英语和计算机与科学技术两个专业参加了湖南省普通高校本科专业综合评价试点工作，取得了良好的效果；二是组织开展了校内37个专业综合评价工作，对各个专业的办学情况进行了全面细致的定性和定量评价，对我校专业建设和发展起了很好的推进作用，为明年湖南省专业评价工作的全面开展奠定了基础。2018年，我校根据专业评价结果，停止了统计学和戏剧影视文学两个专业的招生。</w:t>
      </w:r>
    </w:p>
    <w:p>
      <w:pPr>
        <w:keepNext w:val="0"/>
        <w:keepLines w:val="0"/>
        <w:pageBreakBefore w:val="0"/>
        <w:widowControl w:val="0"/>
        <w:kinsoku/>
        <w:wordWrap/>
        <w:overflowPunct/>
        <w:topLinePunct w:val="0"/>
        <w:autoSpaceDE/>
        <w:autoSpaceDN/>
        <w:bidi w:val="0"/>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6、开展新建专业与综合改革试点专业、课程建设专项评估工作</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2018年上期，学校组织秘书学专业接受了省教育厅、省学位办的新增学士学位授权学科专业评估，秘书专业顺利通过了新增专业学士学位授权评估；对2016 年立项的旅游管理专业、计算机科学与技术专业和生物工程3个湖南省“十三五”综合改革试点专业和立项的汉语言文学、英语、土木工程、数学与应用数学、电子信息工程、音乐学6个校级转型发展试点专业进行了年度检查，并根据检查结果提出了整改意见；组织专家组对2016年立项的研讨式课程、校级名师空间课程和校级微课程进行了验收检查。通过以上专项评估工作，切实加强新办专业和综合改革试点专业建设及课程建设。</w:t>
      </w:r>
    </w:p>
    <w:p>
      <w:pPr>
        <w:keepNext w:val="0"/>
        <w:keepLines w:val="0"/>
        <w:pageBreakBefore w:val="0"/>
        <w:widowControl w:val="0"/>
        <w:kinsoku/>
        <w:wordWrap/>
        <w:overflowPunct/>
        <w:topLinePunct w:val="0"/>
        <w:autoSpaceDE/>
        <w:autoSpaceDN/>
        <w:bidi w:val="0"/>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7、完善教师课堂教学质量综合评估工作</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为科学评价教师课堂教学质量，我校积极开展</w:t>
      </w:r>
      <w:r>
        <w:rPr>
          <w:rFonts w:hint="eastAsia" w:ascii="方正书宋简体" w:hAnsi="方正书宋简体" w:eastAsia="方正书宋简体" w:cs="方正书宋简体"/>
          <w:bCs/>
          <w:sz w:val="24"/>
          <w:szCs w:val="24"/>
        </w:rPr>
        <w:t>教师课堂教学质量评价</w:t>
      </w:r>
      <w:r>
        <w:rPr>
          <w:rFonts w:hint="eastAsia" w:ascii="方正书宋简体" w:hAnsi="方正书宋简体" w:eastAsia="方正书宋简体" w:cs="方正书宋简体"/>
          <w:sz w:val="24"/>
          <w:szCs w:val="24"/>
        </w:rPr>
        <w:t>方式的改革，制定了《湖南科技学院</w:t>
      </w:r>
      <w:r>
        <w:rPr>
          <w:rFonts w:hint="eastAsia" w:ascii="方正书宋简体" w:hAnsi="方正书宋简体" w:eastAsia="方正书宋简体" w:cs="方正书宋简体"/>
          <w:bCs/>
          <w:sz w:val="24"/>
          <w:szCs w:val="24"/>
        </w:rPr>
        <w:t>教师课堂教学质量评价办法</w:t>
      </w:r>
      <w:r>
        <w:rPr>
          <w:rFonts w:hint="eastAsia" w:ascii="方正书宋简体" w:hAnsi="方正书宋简体" w:eastAsia="方正书宋简体" w:cs="方正书宋简体"/>
          <w:sz w:val="24"/>
          <w:szCs w:val="24"/>
        </w:rPr>
        <w:t>》。每个学期，我们都精心组织师生开展教师课堂教学质量评价，学生参评率在98%以上，师生对评教的积极性在逐步提高，提高了评教的科学性和有效性。同时在全校开展学生满意度调查，我校学生对学校教学的总体满意度较高，向他人推荐学校的比例达到了90.44%，呈上升趋势。</w:t>
      </w:r>
    </w:p>
    <w:p>
      <w:pPr>
        <w:pStyle w:val="3"/>
        <w:spacing w:line="400" w:lineRule="exact"/>
        <w:jc w:val="left"/>
        <w:rPr>
          <w:rFonts w:hint="eastAsia" w:ascii="方正书宋简体" w:hAnsi="方正书宋简体" w:eastAsia="方正书宋简体" w:cs="方正书宋简体"/>
          <w:b/>
          <w:bCs/>
          <w:sz w:val="28"/>
          <w:szCs w:val="28"/>
        </w:rPr>
      </w:pPr>
      <w:bookmarkStart w:id="45" w:name="_Toc531937788"/>
      <w:r>
        <w:rPr>
          <w:rFonts w:hint="eastAsia" w:ascii="方正书宋简体" w:hAnsi="方正书宋简体" w:eastAsia="方正书宋简体" w:cs="方正书宋简体"/>
          <w:b/>
          <w:bCs/>
          <w:sz w:val="28"/>
          <w:szCs w:val="28"/>
        </w:rPr>
        <w:t>（五）信息利用和质量改进</w:t>
      </w:r>
      <w:bookmarkEnd w:id="45"/>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1、强化学生信息员反馈工作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注重学生信息员队伍建设和信息反馈机制完善。每期召开教学信息员的工作布置和培训会，并对教学信息员的工作情况进行了总结表彰。学生教学信息员覆盖了全校所有班级、所有课程和大部分环节，学校每月对全校的教学信息进行汇总分析，装订成册，并将教学信息分类反馈给各教学学院及相关职能部门，加强了教学质量监控和教学督导力度，对影响教学质量的相关问题下达整改任务，规定各单位落实整改时限，对一些直接影响教学质量的主要问题，由教学质量管理处和教务处，安排专人跟进，保证及时整改，有效促进课堂教学质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2、发挥教学督导的“督、导、评”的促进作用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sz w:val="24"/>
          <w:szCs w:val="24"/>
        </w:rPr>
        <w:t>学校积极构建了完善的教学督导体系，充分发挥教学督导的“督、导、评”的促进作用。2018年3月，换届成立了第二届教学督导团，督导团由12名学术水平高、教学经验丰富、责任心强的专家教授组成。三年来，教学督导团已对770名教师、97名非专任教师共867人次的课堂教学进行了听课，并对每一个听课对象作出点评，提出教学改进意见；此外，督导团还开展了教学专项检查、开展专题调研、教学信息反馈、召开了教师座谈会和督导工作总结会等工作，有力促进了教师教学水平的提高，有效促进了教师课堂教学质量的提升。</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方正书宋简体" w:hAnsi="方正书宋简体" w:eastAsia="方正书宋简体" w:cs="方正书宋简体"/>
          <w:b/>
          <w:bCs/>
          <w:sz w:val="24"/>
          <w:szCs w:val="24"/>
        </w:rPr>
      </w:pPr>
      <w:r>
        <w:rPr>
          <w:rFonts w:hint="eastAsia" w:ascii="方正书宋简体" w:hAnsi="方正书宋简体" w:eastAsia="方正书宋简体" w:cs="方正书宋简体"/>
          <w:b/>
          <w:bCs/>
          <w:sz w:val="24"/>
          <w:szCs w:val="24"/>
        </w:rPr>
        <w:t>3、加强教学过程监控，强化教学秩序运行管理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通过教学检查、学生教学信息员和教学督导等多种形式了解教师教学情况，每月汇编教学信息送书记、校长和分管校长审阅，及时与教学学院进行教学信息反馈，同时要求相关教学学院和教师针对不同途径反馈的教学各环节存在的问题进行整改，这些检查活动有力地促进了各个教学环节的管理，为教学质量的提高提供了有力保障。本学年度，学校对违反教学纪律的19名教师进行了诫勉谈话，对违反教学程序的2名教师进行了事实调查和处理，对其中构成教学事故的3名教师，给予了相应的处理。</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方正书宋简体" w:hAnsi="方正书宋简体" w:eastAsia="方正书宋简体" w:cs="方正书宋简体"/>
          <w:b/>
          <w:sz w:val="24"/>
          <w:szCs w:val="24"/>
        </w:rPr>
      </w:pPr>
      <w:r>
        <w:rPr>
          <w:rFonts w:hint="eastAsia" w:ascii="方正书宋简体" w:hAnsi="方正书宋简体" w:eastAsia="方正书宋简体" w:cs="方正书宋简体"/>
          <w:b/>
          <w:sz w:val="24"/>
          <w:szCs w:val="24"/>
        </w:rPr>
        <w:t>4、建设教学质量保障系统，实现了教学质量管理信息化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为进一步强化教学质量保障建设，制定了《湖南科技学院教学质量监控工作条例》，汇编了教学质量管理文件制度，2017年投资35万元完成了湖南科技学院“教学质量保障体系” 平台建设，组织专家对各教学学院副院长、教务办主任及职能部门相关人员共50多人进行了专项培训。该系统将教学基本状态数据监测、院系本科教学评估、专业评估、课程评估、教师课堂教学质量评价等一并纳入到系统管理，对教学工作进行全面、实时的监控和管理，及时督促学院和相关教学环节落实整改任务，促进教学质量持续改进。</w:t>
      </w:r>
    </w:p>
    <w:p>
      <w:pPr>
        <w:pStyle w:val="3"/>
        <w:keepNext/>
        <w:keepLines/>
        <w:pageBreakBefore w:val="0"/>
        <w:widowControl w:val="0"/>
        <w:kinsoku/>
        <w:wordWrap/>
        <w:overflowPunct/>
        <w:topLinePunct w:val="0"/>
        <w:autoSpaceDE/>
        <w:autoSpaceDN/>
        <w:bidi w:val="0"/>
        <w:adjustRightInd/>
        <w:snapToGrid/>
        <w:spacing w:before="240" w:after="240" w:line="400" w:lineRule="exact"/>
        <w:jc w:val="left"/>
        <w:textAlignment w:val="auto"/>
        <w:rPr>
          <w:rFonts w:hint="eastAsia" w:ascii="方正黑体简体" w:hAnsi="方正黑体简体" w:eastAsia="方正黑体简体" w:cs="方正黑体简体"/>
          <w:b w:val="0"/>
          <w:bCs w:val="0"/>
          <w:sz w:val="28"/>
          <w:szCs w:val="28"/>
        </w:rPr>
      </w:pPr>
      <w:bookmarkStart w:id="46" w:name="_Toc531937789"/>
      <w:r>
        <w:rPr>
          <w:rFonts w:hint="eastAsia" w:ascii="方正黑体简体" w:hAnsi="方正黑体简体" w:eastAsia="方正黑体简体" w:cs="方正黑体简体"/>
          <w:b w:val="0"/>
          <w:bCs w:val="0"/>
          <w:sz w:val="28"/>
          <w:szCs w:val="28"/>
        </w:rPr>
        <w:t>五、学生学习效果</w:t>
      </w:r>
      <w:bookmarkEnd w:id="46"/>
    </w:p>
    <w:p>
      <w:pPr>
        <w:pStyle w:val="3"/>
        <w:keepNext/>
        <w:keepLines/>
        <w:pageBreakBefore w:val="0"/>
        <w:widowControl w:val="0"/>
        <w:kinsoku/>
        <w:wordWrap/>
        <w:overflowPunct/>
        <w:topLinePunct w:val="0"/>
        <w:autoSpaceDE/>
        <w:autoSpaceDN/>
        <w:bidi w:val="0"/>
        <w:adjustRightInd/>
        <w:snapToGrid/>
        <w:spacing w:before="220" w:after="220" w:line="400" w:lineRule="exact"/>
        <w:jc w:val="left"/>
        <w:textAlignment w:val="auto"/>
        <w:rPr>
          <w:rFonts w:hint="eastAsia" w:ascii="方正书宋简体" w:hAnsi="方正书宋简体" w:eastAsia="方正书宋简体" w:cs="方正书宋简体"/>
          <w:b/>
          <w:bCs/>
          <w:sz w:val="28"/>
          <w:szCs w:val="28"/>
        </w:rPr>
      </w:pPr>
      <w:bookmarkStart w:id="47" w:name="_Toc531937790"/>
      <w:r>
        <w:rPr>
          <w:rFonts w:hint="eastAsia" w:ascii="方正书宋简体" w:hAnsi="方正书宋简体" w:eastAsia="方正书宋简体" w:cs="方正书宋简体"/>
          <w:b/>
          <w:bCs/>
          <w:sz w:val="28"/>
          <w:szCs w:val="28"/>
        </w:rPr>
        <w:t>（一）毕业情况</w:t>
      </w:r>
      <w:bookmarkEnd w:id="47"/>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2018届共有本科毕业生3553人，实际毕业人数3473人，毕业率为97.75%，毕业学生中学位授予率为99.31%。</w:t>
      </w:r>
    </w:p>
    <w:p>
      <w:pPr>
        <w:pStyle w:val="3"/>
        <w:spacing w:line="400" w:lineRule="exact"/>
        <w:jc w:val="left"/>
        <w:rPr>
          <w:rFonts w:hint="eastAsia" w:ascii="方正书宋简体" w:hAnsi="方正书宋简体" w:eastAsia="方正书宋简体" w:cs="方正书宋简体"/>
          <w:b/>
          <w:bCs/>
          <w:sz w:val="28"/>
          <w:szCs w:val="28"/>
        </w:rPr>
      </w:pPr>
      <w:bookmarkStart w:id="48" w:name="_Toc531937791"/>
      <w:r>
        <w:rPr>
          <w:rFonts w:hint="eastAsia" w:ascii="方正书宋简体" w:hAnsi="方正书宋简体" w:eastAsia="方正书宋简体" w:cs="方正书宋简体"/>
          <w:b/>
          <w:bCs/>
          <w:sz w:val="28"/>
          <w:szCs w:val="28"/>
        </w:rPr>
        <w:t>（二）就业情况</w:t>
      </w:r>
      <w:bookmarkEnd w:id="48"/>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截至2018年8月31日，学校应届本科毕业生总就业率为88.05%。根据我校2017-2018年度毕业就业情况统计数据显示，我校毕业生就业单位类型仍以私企等普通企业为主，连续三年就业总人数比例超过60%（2016年77.38%,2017年63.80%，2018年62.32%）；考研升学157人，占就业总人数5.02%；出国（境）留学人数逐年增长，2018届毕业生中有26人出国；毕业生在高等院校、其他事业单位和国有企业就业人数显著增加。2018届毕业生已就业并办理报到证人数272人，派遣率由2017届的4.44%增长到7.67%。2018届毕业生从事信息传输软件和信息技术、公共管理、教育业和建筑业的人数逐年增加，从事制造业和居民服务业的人数逐年减少；毕业生就业区域仍以湖南、广东、北京、上海、江苏和浙江六个省份为主，占就业总人数的80.77%。</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2018年7—10月，学校对用人单位进行了跟踪回访，参与调研的企业的规模、行业类别、所在城市类别等，具有较高的代表性。从毕业生适应能力、创新能力、专业知识、语言表达、执行能力，企业录用毕业生侧重素质和对学校就业工作满意度等33个方面对企业进行了问卷调研。根据调研结果显示，对我校就业工作满意的用人单位有162家，占比为96.39%。</w:t>
      </w:r>
    </w:p>
    <w:p>
      <w:pPr>
        <w:pStyle w:val="3"/>
        <w:spacing w:line="400" w:lineRule="exact"/>
        <w:jc w:val="left"/>
        <w:rPr>
          <w:rFonts w:hint="eastAsia" w:ascii="方正书宋简体" w:hAnsi="方正书宋简体" w:eastAsia="方正书宋简体" w:cs="方正书宋简体"/>
          <w:b/>
          <w:bCs/>
          <w:sz w:val="28"/>
          <w:szCs w:val="28"/>
        </w:rPr>
      </w:pPr>
      <w:bookmarkStart w:id="49" w:name="_Toc531937792"/>
      <w:r>
        <w:rPr>
          <w:rFonts w:hint="eastAsia" w:ascii="方正书宋简体" w:hAnsi="方正书宋简体" w:eastAsia="方正书宋简体" w:cs="方正书宋简体"/>
          <w:b/>
          <w:bCs/>
          <w:sz w:val="28"/>
          <w:szCs w:val="28"/>
        </w:rPr>
        <w:t>（三）转专业情况</w:t>
      </w:r>
      <w:bookmarkEnd w:id="49"/>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本学年，转专业学生116名，占全日制在校本科生数比例为0.78%。</w:t>
      </w:r>
    </w:p>
    <w:p>
      <w:pPr>
        <w:pStyle w:val="3"/>
        <w:spacing w:line="400" w:lineRule="exact"/>
        <w:jc w:val="left"/>
        <w:rPr>
          <w:rFonts w:hint="eastAsia" w:ascii="方正书宋简体" w:hAnsi="方正书宋简体" w:eastAsia="方正书宋简体" w:cs="方正书宋简体"/>
          <w:b/>
          <w:bCs/>
          <w:sz w:val="28"/>
          <w:szCs w:val="28"/>
        </w:rPr>
      </w:pPr>
      <w:bookmarkStart w:id="50" w:name="_Toc531937793"/>
      <w:r>
        <w:rPr>
          <w:rFonts w:hint="eastAsia" w:ascii="方正书宋简体" w:hAnsi="方正书宋简体" w:eastAsia="方正书宋简体" w:cs="方正书宋简体"/>
          <w:b/>
          <w:bCs/>
          <w:sz w:val="28"/>
          <w:szCs w:val="28"/>
        </w:rPr>
        <w:t>（四）学生学风与获奖</w:t>
      </w:r>
      <w:bookmarkEnd w:id="50"/>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方正书宋简体" w:hAnsi="方正书宋简体" w:eastAsia="方正书宋简体" w:cs="方正书宋简体"/>
          <w:b/>
          <w:bCs/>
          <w:sz w:val="24"/>
          <w:szCs w:val="24"/>
        </w:rPr>
      </w:pPr>
      <w:r>
        <w:rPr>
          <w:rFonts w:hint="eastAsia" w:ascii="方正书宋简体" w:hAnsi="方正书宋简体" w:eastAsia="方正书宋简体" w:cs="方正书宋简体"/>
          <w:b/>
          <w:bCs/>
          <w:sz w:val="24"/>
          <w:szCs w:val="24"/>
        </w:rPr>
        <w:t>1、学风建设主要措施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将2017年确定为“学生成长成才服务年”，并设立了以党委书记、校长为组长的活动领导小组，负责“服务年”主题活动的总体规划、组织落实和检查督导。学校从环境建设、思想建设、组织制度建设等多方入手，继续推进学风建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加强思想教育，解决学生学习动力问题。2018年4月，拟定并下发了“牢记使命跟党走，争做‘三有’好青年”主题教育活动方案，围绕“服务学生成长成才”的中心目标，本着“防重于治”的教育理念，全面开展学风调研活动，深入挖掘学风建设中存在的突出问题和矛盾，提高学风建设的实效性和针对性。通过系列宣讲活动，开展理想信念教育，切实解决“为谁读书”的问题。如“弘扬红船精神”、“牢记使命，不忘初心”、“长征精神”的爱国爱校教育，引导学生“回归常识，发奋读书，立志成才”。</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二是开展学风建设系列活动，指导学生掌握学习方法。根据不同年级、专业学生的特点，有针对性地开展学风建设相关活动。通过系列教育活动，遵循学生的发展特点、教育规律、专业特色，开展学生技能竞赛、学风检查等活动，切实解决“怎么读书”和“读什么样的书”的问题。开展“明德讲坛”系列活动、“学习方法”大讨论活动、“职业生涯规划大赛”、“心理健康教育月”、“国学讲坛”、茶艺大赛、体育运动会等活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三是树立优秀典型，宣传调动学生学习积极性。利用“易班”平台，推进网络思想政治教育工作，开展“易班加油站”志愿服务活动、“易班进教室、进宿舍”系列宣传活动等；开展“杰出校友论坛”，加强励志教育。每年有100余名学生被评为省级优秀毕业生，500余名学生被评为校级优秀毕业生；同时每年评选出百名“舜德学子”，开展“舜德讲坛”，并组织考研学子及优秀毕业生代表开展学习经验交流活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四是推进特色成长辅导室和书院文化建设，构建良好学习环境。利用“书院读书会”活动，扩大书院影响。三年来共有5个省级特色成长辅导室立项，2个校级特色成长辅导室立项。目前，“馨语馨愿”、“心灵港湾”特色成长辅导室均顺利通过省级成长辅导室的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五是严格学生日常行为管理，督促学生养成良好学习习惯。加大日常规范管理工作力度，严抓学生到课率和早晚自习出勤率，各学院安排专人查课，如实记录学生出勤情况，学生综合到课率为98.88%；合理安排调配学生宿舍，完善学生公寓配套设施，严格校外住宿审批程序，学生公寓入住率高，达99.89%；开学初及时联系家长，督促学生按时返校，学生开学到校率为99.98%；通过张贴宣传海报、悬挂横幅标语、召开主题班会等形式开展“诚信教育”，利用入学教育契机，组织学生集体学习“学生手册”，进行“学生手册”知识测试，帮助学生了解和掌握学生管理的相关规定，期末考试前，各学院组织召开“考试动员大会”，进行违纪预防教育，帮助学生树立诚信考试意识，学生考试违纪率低，仅为0.17%。</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六是开展各类学业帮扶和专业技能竞赛，激发学生内心求知欲望。通过系列帮扶活动，帮助学习困难学生树立良好的学习态度，并用党员、学生干部等先进代表与学习困难学生结对子促进帮扶实效，开展“学生党员与新生零距离交流会”、“手拉手 一帮一”学习帮扶结对子等活动。各院积极开展专业技能竞赛，以赛促学，如土木与环境工程学院开展测绘综合技能竞赛，旅游与文化产业学院开展茶艺师技能大赛，外国语学院开展英语、日语专业演讲比赛等。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七是持续推进舜德学子培育工程，用榜样引领学生成长成才。连续七年累计评选出舜德学子600余名，学生反响较好，教育效果明显。举办“舜德学子”颁奖晚会进行表彰，并将其优秀事迹汇编成册，发放至学生手中传阅。2018年1月，首次前往宁远县舜帝陵举办湖南科技学院“舜德学子”颁奖典礼系列活动，打造我校“名学生”育人品牌，扩大社会影响力。“舜德学子培育工程”先后获得湖南省2015年校园文化建设优秀成果一等奖，全国第八届高校校园文化建设优秀成果奖。</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方正书宋简体" w:hAnsi="方正书宋简体" w:eastAsia="方正书宋简体" w:cs="方正书宋简体"/>
          <w:b/>
          <w:bCs/>
          <w:sz w:val="24"/>
          <w:szCs w:val="24"/>
        </w:rPr>
      </w:pPr>
      <w:r>
        <w:rPr>
          <w:rFonts w:hint="eastAsia" w:ascii="方正书宋简体" w:hAnsi="方正书宋简体" w:eastAsia="方正书宋简体" w:cs="方正书宋简体"/>
          <w:b/>
          <w:bCs/>
          <w:sz w:val="24"/>
          <w:szCs w:val="24"/>
        </w:rPr>
        <w:t>2、学风建设成效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学生学习环境和行为明显改善。学生学习风气有较大转变，晨读、晚自习蔚然成风，课堂到课率、抬头率和前三排就座率明显提高；考风考纪常抓不懈，学生违纪和考试舞弊现象明显减少，学生学习成绩优良， 2017年度获得国家奖学金的学生有23人，奖金184000元，获国家励志奖学金学生429人,奖金2145000元，获国家助学金学生3185人,奖金9815000元，获校级奖学金学生1298人，奖金1860000元。</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二是学生综合素质得到有效提升。在各教育行政主管部门举办的各类专业技能竞赛中，学生表现优异，成绩喜人。2017年，我校学子在由教育行政部门主办的赛事中共荣获国家级二等奖1项、省级团体一等奖1项、省级团体三等奖1项、省级个人一等奖20项、省级个人二等奖19项、省级个人三等奖39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在湖南省第七届大学生化学实验技能竞赛中，化学专业学生共荣获7项奖项，省级一等奖1项、二等奖4项、三等奖2项；在湖南省普通高等学校日语演讲比赛中，我校日语专业学生获省级一等奖2项，二等奖1项，并获团体一等奖；在全国大学生广告艺术大赛中，美术、广告与编导专业学生共获18项佳绩，其中，国家二等奖1项、省级一等奖2项、二等奖1项、三等奖14项；在湖南省大学生工业设计竞赛中，美术专业学生获二等奖1项，三等奖4项；计算机专业学生在湖南省第十三届大学生计算机程序设计竞赛中获三等奖2项；在湖南省大学生电子设计竞赛中，电子信息工程专业6名同学分别获省级一等奖；在湖南省首届大学生物联网应用创新设计大赛中获三等奖2项；在湖南省模拟法庭竞赛中，我校法学专业学生代表队荣获三等奖；在湖南省大学生力学竞赛中获三等奖1项；在湖南省数学建模竞赛中获三等奖3项；在湖南省大学生物理竞赛中获三等奖3项；在数学竞赛中获三等奖1项；在湖南省师范生技能竞赛中，获4项佳绩，其中，省级一等奖1项，二等奖1项，三等奖2项；在第二届湖南省大学生企业模拟经营竞赛中我校金融专业学生获三等奖1项；在湖南省第四届大学生旅游专业综合技能大赛中获二等奖、三等奖各1项；在湖南省第五届本科高校音乐舞蹈专业学生独唱、独奏、独舞比赛中，获9项佳绩，其中，一等奖4项，二等奖2项，三等奖3项。在湖南省第五届大学生艺术展演活动中，艺术表演类获二等奖2项、三等奖1项，绘画组获一等奖5项，摄影组获二等奖2项，微电影组获一等奖1项，书法组获一等奖2项。</w:t>
      </w:r>
    </w:p>
    <w:p>
      <w:pPr>
        <w:pStyle w:val="3"/>
        <w:spacing w:line="400" w:lineRule="exact"/>
        <w:jc w:val="left"/>
        <w:rPr>
          <w:rFonts w:hint="eastAsia" w:ascii="方正书宋简体" w:hAnsi="方正书宋简体" w:eastAsia="方正书宋简体" w:cs="方正书宋简体"/>
          <w:b/>
          <w:bCs/>
          <w:sz w:val="28"/>
          <w:szCs w:val="28"/>
        </w:rPr>
      </w:pPr>
      <w:bookmarkStart w:id="51" w:name="_Toc531937794"/>
      <w:r>
        <w:rPr>
          <w:rFonts w:hint="eastAsia" w:ascii="方正书宋简体" w:hAnsi="方正书宋简体" w:eastAsia="方正书宋简体" w:cs="方正书宋简体"/>
          <w:b/>
          <w:bCs/>
          <w:sz w:val="28"/>
          <w:szCs w:val="28"/>
        </w:rPr>
        <w:t>（五）毕业生成就展示</w:t>
      </w:r>
      <w:bookmarkEnd w:id="51"/>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为国家和地方经济社会发展提供了有力的人才支持和智力支撑，成为湖南乃至全国人才培养的重要基地，已为国家和地方经济社会发展培养了各类人才，毕业生中涌现出中国工程院院士、省部级领导干部、优秀企业家与行业骨干等一大批优秀人才。如我校优秀毕业生欧阳晓平，2013年当选为中国工程院院士，是我国脉冲辐射场诊断的学科带头人之一，先后获得中国科技青年奖、求实杰出青年奖、全国百篇优秀博士论文、全国优秀科技工作者、何梁何利科学技术进步奖等荣誉，获得国家技术发明二等奖1项、三等奖2项，国家科技进步二等奖2项，部委级科技进步一等奖5项、二等奖5项，光荣当选为第十九届中央委员会候补委员；数学专业毕业的傅安平是中国第一批精算师，高级经济师，现任</w:t>
      </w:r>
      <w:r>
        <w:rPr>
          <w:rFonts w:hint="eastAsia" w:ascii="方正书宋简体" w:hAnsi="方正书宋简体" w:eastAsia="方正书宋简体" w:cs="方正书宋简体"/>
          <w:sz w:val="24"/>
          <w:szCs w:val="24"/>
        </w:rPr>
        <w:fldChar w:fldCharType="begin"/>
      </w:r>
      <w:r>
        <w:rPr>
          <w:rFonts w:hint="eastAsia" w:ascii="方正书宋简体" w:hAnsi="方正书宋简体" w:eastAsia="方正书宋简体" w:cs="方正书宋简体"/>
          <w:sz w:val="24"/>
          <w:szCs w:val="24"/>
        </w:rPr>
        <w:instrText xml:space="preserve"> HYPERLINK "http://baike.so.com/doc/1031281-1090643.html" </w:instrText>
      </w:r>
      <w:r>
        <w:rPr>
          <w:rFonts w:hint="eastAsia" w:ascii="方正书宋简体" w:hAnsi="方正书宋简体" w:eastAsia="方正书宋简体" w:cs="方正书宋简体"/>
          <w:sz w:val="24"/>
          <w:szCs w:val="24"/>
        </w:rPr>
        <w:fldChar w:fldCharType="separate"/>
      </w:r>
      <w:r>
        <w:rPr>
          <w:rFonts w:hint="eastAsia" w:ascii="方正书宋简体" w:hAnsi="方正书宋简体" w:eastAsia="方正书宋简体" w:cs="方正书宋简体"/>
          <w:sz w:val="24"/>
          <w:szCs w:val="24"/>
        </w:rPr>
        <w:t>中国人民人寿保险股份有限公司</w:t>
      </w:r>
      <w:r>
        <w:rPr>
          <w:rFonts w:hint="eastAsia" w:ascii="方正书宋简体" w:hAnsi="方正书宋简体" w:eastAsia="方正书宋简体" w:cs="方正书宋简体"/>
          <w:sz w:val="24"/>
          <w:szCs w:val="24"/>
        </w:rPr>
        <w:fldChar w:fldCharType="end"/>
      </w:r>
      <w:r>
        <w:rPr>
          <w:rFonts w:hint="eastAsia" w:ascii="方正书宋简体" w:hAnsi="方正书宋简体" w:eastAsia="方正书宋简体" w:cs="方正书宋简体"/>
          <w:sz w:val="24"/>
          <w:szCs w:val="24"/>
        </w:rPr>
        <w:t>党委书记、总裁；数学系毕业的陈志英，现任广州市常务副市长；外语专业毕业的黄楚新，现任中国社会科学院新闻与传播研究所传媒发展研究中心主任、新闻学研究室主任，还是中央电视台节目评价专家；化学专业毕业的郭军，现任湖南人文科技学院党委书记；历史专业毕业的李小豹，现任江西萍乡市委书记等；化学系毕业的张亚红，现为湖南中天创智投资有限公司总裁；数学系毕业的段小燕，现为深圳鑫景源科技股份有限公司董事长。</w:t>
      </w:r>
    </w:p>
    <w:p>
      <w:pPr>
        <w:pStyle w:val="3"/>
        <w:spacing w:line="400" w:lineRule="exact"/>
        <w:jc w:val="left"/>
        <w:rPr>
          <w:rFonts w:hint="eastAsia" w:ascii="方正黑体简体" w:hAnsi="方正黑体简体" w:eastAsia="方正黑体简体" w:cs="方正黑体简体"/>
          <w:b w:val="0"/>
          <w:bCs w:val="0"/>
          <w:sz w:val="28"/>
          <w:szCs w:val="28"/>
        </w:rPr>
      </w:pPr>
      <w:bookmarkStart w:id="52" w:name="_Toc531937795"/>
      <w:r>
        <w:rPr>
          <w:rFonts w:hint="eastAsia" w:ascii="方正黑体简体" w:hAnsi="方正黑体简体" w:eastAsia="方正黑体简体" w:cs="方正黑体简体"/>
          <w:b w:val="0"/>
          <w:bCs w:val="0"/>
          <w:sz w:val="28"/>
          <w:szCs w:val="28"/>
        </w:rPr>
        <w:t>六、特色发展</w:t>
      </w:r>
      <w:bookmarkEnd w:id="52"/>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注重转型发展、内涵发展和特色发展，以产教融合、校企合作为教学改革突破口，探索人才培养模式和课程体系改革，积极开展创新创业教育，提高应用型人才培养质量，提升服务区域经济发展能力，逐步形成了我校的教学特色。</w:t>
      </w:r>
    </w:p>
    <w:p>
      <w:pPr>
        <w:pStyle w:val="3"/>
        <w:spacing w:line="400" w:lineRule="exact"/>
        <w:jc w:val="left"/>
        <w:rPr>
          <w:rFonts w:hint="eastAsia" w:ascii="方正书宋简体" w:hAnsi="方正书宋简体" w:eastAsia="方正书宋简体" w:cs="方正书宋简体"/>
          <w:b/>
          <w:bCs/>
          <w:sz w:val="28"/>
          <w:szCs w:val="28"/>
        </w:rPr>
      </w:pPr>
      <w:r>
        <w:rPr>
          <w:rFonts w:hint="eastAsia" w:ascii="方正书宋简体" w:hAnsi="方正书宋简体" w:eastAsia="方正书宋简体" w:cs="方正书宋简体"/>
          <w:b/>
          <w:bCs/>
          <w:sz w:val="28"/>
          <w:szCs w:val="28"/>
        </w:rPr>
        <w:t>（一）主动服务区域经济发展，持续推动专业转型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在教育部地方高校转型发展的指导思想下，学校依托五大专业集群，积极推进学校专业转型发展。2017 年学校对全校44个专业进行了深入调研，形成了《湖南科技学院关于加强地方应用型人才培养专业建设行动方案（2018-2020）》。《行动方案》以党的十九大精神为指导，以“双一流”建设为目标，以服务地方、转型发展、内涵发展、特色发展为主线，以“四个转到”为基本遵循，按照“长期规划、动态管理、分段实施、项目推进”的原则，以地方和区域经济社会发展为导向，立足本地人才培养，以专业集群建设为依托，以学校优势专业学科为基础，开展专业建设。结合永州市地方特色与文化资源，以及我校专业建设的成效，确定生物工程、旅游管理、计算机科学与技术、数学与应用数学专业为学校“十三五”期间“名专业”的建设目标，以“名专业”带动专业集群的建设。一是围绕永州市特色植物的开发与利用、油茶的栽培与精深加工，打造生物工程为“名专业”，引领生物制药专业集群建设。二是围绕永州市旅游资源与地方文化，打造旅游管理为“名专业”，引领旅游文化产业专业集群建设。三是围绕永州市智慧城市建设与园区升级战役，利用华为（永州）大数据中心的优质资源，打造计算机科学与技术为“名专业”，引领电子信息专业集群建设。四是围绕永州市基础教育发展与教育扶贫攻坚，打造数学与应用数学为“名专业”，引领教师教育专业集群建设。</w:t>
      </w:r>
    </w:p>
    <w:p>
      <w:pPr>
        <w:pStyle w:val="3"/>
        <w:spacing w:line="400" w:lineRule="exact"/>
        <w:jc w:val="left"/>
        <w:rPr>
          <w:rFonts w:hint="eastAsia" w:ascii="方正书宋简体" w:hAnsi="方正书宋简体" w:eastAsia="方正书宋简体" w:cs="方正书宋简体"/>
          <w:b/>
          <w:bCs/>
          <w:sz w:val="28"/>
          <w:szCs w:val="28"/>
        </w:rPr>
      </w:pPr>
      <w:r>
        <w:rPr>
          <w:rFonts w:hint="eastAsia" w:ascii="方正书宋简体" w:hAnsi="方正书宋简体" w:eastAsia="方正书宋简体" w:cs="方正书宋简体"/>
          <w:b/>
          <w:bCs/>
          <w:sz w:val="28"/>
          <w:szCs w:val="28"/>
        </w:rPr>
        <w:t>（二）改革课堂教学模式，提升青年教师教学能力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强调教师应以培养学生的创新能力与解决问题的能力为目标，充分利用信息化手段积极开展研讨式教学和案例式教学，推广“对分课堂”和“翻转课堂”、混合式教学等新型教学模式。通过“新课堂”培养学生的自我学习能力和创新能力，通过“新课堂”培养青年教师的教学设计能力和课堂教学技能，提升青年教师的整体教学素养。2017年学校围绕这一目标开展了一系列活动：一是组织了省课堂教学比赛校内选拔工作和参赛教师的培训工作，我校获得湖南省普通高校课堂教学竞赛一等奖 2 项，三等奖 2 项。二是为了推进教学方法改革，学校组织了研讨式教学比赛，研讨式教学极大地提高了学生的参与度，教师和学生都得到了很好的培养，对建设方案详实可行、教学比赛表现较好的 10 门课程立项为研讨式教学课程；邀请教学大师讲座。三是学校邀请对分课堂创始人张学新教授为我校教师带来一场“对分课堂—中国原创课堂教学新方法”的校内实训活动，引入了“对分课堂”教学新模式。四是组织开展了信息化教学比赛，通过各教学学院选拔推荐，共13名专任教师参加校信息化教学比赛决赛，提高了教师信息化辅助教学能力，把“学习通”和“雨课堂”引进了课堂，构建了混合式教学新模式。</w:t>
      </w:r>
    </w:p>
    <w:p>
      <w:pPr>
        <w:pStyle w:val="3"/>
        <w:spacing w:line="400" w:lineRule="exact"/>
        <w:jc w:val="left"/>
        <w:rPr>
          <w:rFonts w:hint="eastAsia" w:ascii="方正书宋简体" w:hAnsi="方正书宋简体" w:eastAsia="方正书宋简体" w:cs="方正书宋简体"/>
          <w:b/>
          <w:bCs/>
          <w:sz w:val="28"/>
          <w:szCs w:val="28"/>
        </w:rPr>
      </w:pPr>
      <w:r>
        <w:rPr>
          <w:rFonts w:hint="eastAsia" w:ascii="方正书宋简体" w:hAnsi="方正书宋简体" w:eastAsia="方正书宋简体" w:cs="方正书宋简体"/>
          <w:b/>
          <w:bCs/>
          <w:sz w:val="28"/>
          <w:szCs w:val="28"/>
        </w:rPr>
        <w:t>（三）积极开展创新创业教育，应用型人才培养成效明显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坚持把创新创业教育作为推进学校教育综合改革的突破口，积极开展创新创业教学改革，充分挖掘和充实各类专业课程中的创新创业资源，要求在传授专业知识过程中加强创新创业教育，在人才培养方案中明确规定了“创新创业教育平台课程”，开设不低于9学分的创新创业教育课程。学校立项省级大学生研究性学习与创新性实验项目28项，校级大学生研究性学习与创新性实验项目61 项，校级创新创业奖学金奖励项目37项，我校学子在由教育行政部门主办的赛事中共荣获国家级二等奖1项、省级团体一等奖1项、省级团体三等奖1项、省级个人一等奖20项、省级个人二等奖19项、省级个人三等奖39项。学校扎实推进创新创业教育，被团中央确立为全国大学生KAB创业教育基地，被省科技厅认定为“省级众创空间”和被省教育厅评选为湖南省高校大学生创新创业孵化示范基地。学校秉承“以赛促学、以赛促教、以赛促建，以赛促转”理念，积极组织有创业意愿的学生参加教育部“互联网+”创新创业大赛、科技部“中国创新创业大赛”、团中央“创青春”创新创业大赛等。学校是全省唯一一所连续三年荣获全省“互联网+”大学生创新创业大赛优秀组织奖和连续两年荣获中国创新创业大赛（湖南赛区）优秀组织奖的高校。2017年学校荣获全国“大学生微创业行动”优秀组织奖、全省“互联网+”大学生创新创业大赛优秀组织奖和中国创新创业大赛（湖南赛区）优秀组织奖。学生项目获得国家级铜奖2项，省级最具人气奖1项、一等奖1项、二等奖5项、三等奖1项，优秀团队奖7项，获奖数名列省内同类院校的前茅。</w:t>
      </w:r>
    </w:p>
    <w:p>
      <w:pPr>
        <w:pStyle w:val="2"/>
        <w:keepNext/>
        <w:keepLines/>
        <w:pageBreakBefore w:val="0"/>
        <w:widowControl w:val="0"/>
        <w:kinsoku/>
        <w:wordWrap/>
        <w:overflowPunct/>
        <w:topLinePunct w:val="0"/>
        <w:autoSpaceDE/>
        <w:autoSpaceDN/>
        <w:bidi w:val="0"/>
        <w:adjustRightInd/>
        <w:snapToGrid/>
        <w:spacing w:before="100" w:line="400" w:lineRule="exact"/>
        <w:jc w:val="left"/>
        <w:textAlignment w:val="auto"/>
        <w:rPr>
          <w:rFonts w:hint="eastAsia" w:ascii="方正黑体简体" w:hAnsi="方正黑体简体" w:eastAsia="方正黑体简体" w:cs="方正黑体简体"/>
          <w:b w:val="0"/>
          <w:bCs w:val="0"/>
        </w:rPr>
      </w:pPr>
      <w:bookmarkStart w:id="53" w:name="_Toc531937796"/>
      <w:r>
        <w:rPr>
          <w:rFonts w:hint="eastAsia" w:ascii="方正黑体简体" w:hAnsi="方正黑体简体" w:eastAsia="方正黑体简体" w:cs="方正黑体简体"/>
          <w:b w:val="0"/>
          <w:bCs w:val="0"/>
          <w:sz w:val="30"/>
          <w:szCs w:val="30"/>
        </w:rPr>
        <w:t>七、存在问题及改进计划</w:t>
      </w:r>
      <w:bookmarkEnd w:id="53"/>
    </w:p>
    <w:p>
      <w:pPr>
        <w:pStyle w:val="3"/>
        <w:spacing w:line="400" w:lineRule="exact"/>
        <w:jc w:val="left"/>
        <w:rPr>
          <w:rFonts w:hint="eastAsia" w:ascii="方正书宋简体" w:hAnsi="方正书宋简体" w:eastAsia="方正书宋简体" w:cs="方正书宋简体"/>
          <w:b/>
          <w:bCs/>
          <w:sz w:val="28"/>
          <w:szCs w:val="28"/>
        </w:rPr>
      </w:pPr>
      <w:r>
        <w:rPr>
          <w:rFonts w:hint="eastAsia" w:ascii="方正书宋简体" w:hAnsi="方正书宋简体" w:eastAsia="方正书宋简体" w:cs="方正书宋简体"/>
          <w:b/>
          <w:bCs/>
          <w:sz w:val="28"/>
          <w:szCs w:val="28"/>
        </w:rPr>
        <w:t>（一）师资队伍建设有待进一步加强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学校自2012年经历新建本科院校合格评估以来，一直非常注重师资队伍建设，经过多年的努力，特别是最近几年的艰苦奋斗，集中主要物力、财力、人力致力于师资队伍建设，教师队伍在素质、结构、数量、梯队等方面建设态势良好，取得了可喜的成绩。但因多种因素的影响，学校师资队伍建设与学校发展目标要求仍有一定差距，主要表现在教师总量虽有明显增加，但生师比相对偏低；高层次人才引进难度较大，具有博士学历学位教师比例与申硕要求还有差距；教师队伍结构中，低职称、低学历的中青年教师偏多，高职称、高学历教师相对紧缺，这种状况无法在短期内完全改变；少数教师对本科教学投入不够，学校大力倡导的双师双能型教师数量还有待增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师资队伍建设上表现出的相对滞后现象，有其内在的矛盾冲突，也有其外在的条件影响，但原因主要存在以下几个方面：一是学校存在地域发展相对落后，人才聚集效益不明显；二是现有国家级教学科研平台有限，高水平、有影响力的成果不多，人才竞争力不强；三是教师分类设岗条件不成熟，人才评价和激励机制改革有一定困难；四是新专业申报相对集中，相应专业教师比较紧俏，人才引进难度较大。</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面对以上矛盾，学校将积极采取措施，将师资队伍建设作为提高本科教学质量和人才培养质量的重要抓手，主要从以下几个方面着力加强师资队伍建设：</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实施引才借智工程。紧紧围绕智能制造、电子信息（大数据）、生物制药（植物提取）、文旅创意等永州重点产业发展和学校学科专业发展需要，全职引进海内外高层次人才和创新创业人才团队。对具有国家级水平的高层次人才及团队，开辟专门引进通道，“一事一议”、特事特办，建立职称评审绿色通道。</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二是实施人才发展工程。以我校相关优势学科、重点实验室、重点创新平台等为依托，以学校高水平辅助人员、良好学术交流平台等为基础，联手本市企事业单位共同申报院士专家工作站、博士后科研工作站、国家级省级重点科研平台。对平台团队人员在实验室建设、项目申报、薪酬分配等方面给予政策倾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三是实施人才培育工程。继续实施《委托国（境）外大学培养博士项目实施办法》，每年委托国（境）外高校培养10名优秀博士研究生。继续实施促进青年硕士教师快速成长的《“青苗支持计划”实施方案》、促进博士教师快速成长的《“英才支持计划”实施方案》，积极探索促进教授继续成长的《“潇湘学者支持计划”实施方案》。鼓励申报湖南省“湖湘人才发展支持计划”“科技领军人才支持计划”等国家级、省级人才项目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四是推进教师薪酬制度改革。绩效工资分配向高层次人才、业务骨干和做出突出成绩的工作人员倾斜。建立以增加知识价值为导向的收入分配机制。对学校聘用的急需紧缺人才，实行年薪制、协议工资或项目工资等分配形式，形成教师教学和科研工作激励机制，鼓励教师全身心投入人才培养工作。</w:t>
      </w:r>
    </w:p>
    <w:p>
      <w:pPr>
        <w:pStyle w:val="3"/>
        <w:spacing w:line="400" w:lineRule="exact"/>
        <w:jc w:val="left"/>
        <w:rPr>
          <w:rFonts w:hint="eastAsia" w:ascii="方正书宋简体" w:hAnsi="方正书宋简体" w:eastAsia="方正书宋简体" w:cs="方正书宋简体"/>
          <w:b/>
          <w:bCs/>
          <w:sz w:val="28"/>
          <w:szCs w:val="28"/>
        </w:rPr>
      </w:pPr>
      <w:r>
        <w:rPr>
          <w:rFonts w:hint="eastAsia" w:ascii="方正书宋简体" w:hAnsi="方正书宋简体" w:eastAsia="方正书宋简体" w:cs="方正书宋简体"/>
          <w:b/>
          <w:bCs/>
          <w:sz w:val="28"/>
          <w:szCs w:val="28"/>
        </w:rPr>
        <w:t>（二）教学资源建设力度还需进一步加大</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与学校的发展目标定位和人才培养目标定位要求相比，学校现有的办学资源相对有限，教学资源建设和教学改革比较困难，特别是在投入较大的实践实验教学、教学管理和课堂教学信息化等方面，虽然学校教育经费总额逐年增加，教学日常运行支出也有明显改善，但由于学校办学经费有限，课程信息化建设理念未在全校形成共识等因素影响，生均纸质图书、生均教学日常运行支出、生均本科实验经费、课程信息化建设力度和数量等方面，与全国其他高校相比，数值相对偏低，对全校的人才培养质量产生了一定影响，学校已认识到差距，拟采取以下措施改变现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一是面向校外，积极开展校地、校企、校校等方面合作。充分利用学校的人才聚集优势，引导教师服务地方，对接企业行业，尝试开拓多种合作渠道和路径，积极构建协同育人平台，争取更多社会办学资源参与到学校建设中来，努力提高学校办学实力；充分发挥学校理事会、校友会、教育基金会等组织的作用，积极争取校友、企业、社会捐赠及国内、国际合作办学等办学资源，达到办学资源数量的明显增长和质量的明显提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二是立足校内，逐步建立资源优化配置和利用机制。学校在经历了外延式扩张之后，办学规模显著扩大，专业设置数量明显增加，教学管理困难日益复杂，学校已在近期调整发展模式，致力于内涵式发展和特色发展。学校将积极建立学校和学院办学自我评价机制和自我约束机制，将成本意识、效益观念、核心理念贯穿到全校人才培养全过程，实现质量效益双提升，实现路径主要分为两个方面，一方面持续落实学院办大学的思想，逐步放开对学院办学资源的集中管理，将责、权、利下放二级学院，建立学院自我发展、自我约束的机制，完善教学经费分配制度，将学院的办学效益与专业、课程建设水平和专业人才培养质量挂钩，从而提高办学资源的使用效率和效益；另一方面，学校要全面审视和评价现有的办学资源，集中优势资源，培育核心能力，不断加强优势专业、优势学科建设，强化办学定位，突出办学特色，建设以永州历史文化为依托的优势文科和对接大湘南经济建设需求的特色工科。</w:t>
      </w:r>
    </w:p>
    <w:p>
      <w:pPr>
        <w:pStyle w:val="2"/>
        <w:spacing w:line="400" w:lineRule="exact"/>
        <w:jc w:val="left"/>
        <w:rPr>
          <w:rFonts w:hint="eastAsia" w:ascii="方正黑体简体" w:hAnsi="方正黑体简体" w:eastAsia="方正黑体简体" w:cs="方正黑体简体"/>
          <w:b w:val="0"/>
          <w:bCs w:val="0"/>
          <w:sz w:val="30"/>
          <w:szCs w:val="30"/>
        </w:rPr>
      </w:pPr>
      <w:bookmarkStart w:id="54" w:name="_Toc531937797"/>
      <w:r>
        <w:rPr>
          <w:rFonts w:hint="eastAsia" w:ascii="方正黑体简体" w:hAnsi="方正黑体简体" w:eastAsia="方正黑体简体" w:cs="方正黑体简体"/>
          <w:b w:val="0"/>
          <w:bCs w:val="0"/>
          <w:sz w:val="30"/>
          <w:szCs w:val="30"/>
        </w:rPr>
        <w:br w:type="page"/>
      </w:r>
    </w:p>
    <w:p>
      <w:pPr>
        <w:pStyle w:val="2"/>
        <w:spacing w:line="400" w:lineRule="exact"/>
        <w:jc w:val="left"/>
        <w:rPr>
          <w:rFonts w:hint="eastAsia" w:ascii="方正黑体简体" w:hAnsi="方正黑体简体" w:eastAsia="方正黑体简体" w:cs="方正黑体简体"/>
          <w:b w:val="0"/>
          <w:bCs w:val="0"/>
          <w:sz w:val="30"/>
          <w:szCs w:val="30"/>
        </w:rPr>
      </w:pPr>
      <w:r>
        <w:rPr>
          <w:rFonts w:hint="eastAsia" w:ascii="方正黑体简体" w:hAnsi="方正黑体简体" w:eastAsia="方正黑体简体" w:cs="方正黑体简体"/>
          <w:b w:val="0"/>
          <w:bCs w:val="0"/>
          <w:sz w:val="30"/>
          <w:szCs w:val="30"/>
        </w:rPr>
        <w:t>附件：本科教学质量报告支撑数据</w:t>
      </w:r>
      <w:bookmarkEnd w:id="54"/>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 本科生占全日制在校生总数的比例98.72%</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 教师数量及结构</w:t>
      </w:r>
    </w:p>
    <w:tbl>
      <w:tblPr>
        <w:tblStyle w:val="13"/>
        <w:tblW w:w="8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732"/>
        <w:gridCol w:w="1346"/>
        <w:gridCol w:w="1348"/>
        <w:gridCol w:w="1346"/>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jc w:val="center"/>
        </w:trPr>
        <w:tc>
          <w:tcPr>
            <w:tcW w:w="3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项目</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专任教师</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外聘教师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jc w:val="center"/>
        </w:trPr>
        <w:tc>
          <w:tcPr>
            <w:tcW w:w="3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数量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比例（%）</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数量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比例（%）</w:t>
            </w:r>
          </w:p>
        </w:tc>
      </w:tr>
      <w:tr>
        <w:tblPrEx>
          <w:tblLayout w:type="fixed"/>
          <w:tblCellMar>
            <w:top w:w="0" w:type="dxa"/>
            <w:left w:w="108" w:type="dxa"/>
            <w:bottom w:w="0" w:type="dxa"/>
            <w:right w:w="108" w:type="dxa"/>
          </w:tblCellMar>
        </w:tblPrEx>
        <w:trPr>
          <w:trHeight w:val="482" w:hRule="atLeast"/>
          <w:jc w:val="center"/>
        </w:trPr>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总计</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792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22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职称结构</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正高级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76</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9.60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13</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59.09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其中教授</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67</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8.46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13</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59.09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副高级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218</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27.53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6</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27.27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其中副教授</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183</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23.11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中级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321</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40.53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其中讲师</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302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38.13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初级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92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11.62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4.55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其中助教</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83</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10.48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未评级</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85</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10.73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最高学位结构</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博士</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122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15.40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5</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22.73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硕士</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584</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73.74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4</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18.18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学士</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71</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8.96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8</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36.36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无学位</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15</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1.89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5</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22.73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年龄结构</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35岁及以下</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330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41.67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2</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36-45岁</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317</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40.03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3</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13.64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46-55岁</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131</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16.54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6</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27.27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sz w:val="18"/>
              </w:rPr>
              <w:t>56岁及以上</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14</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1.77 </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11</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sz w:val="18"/>
              </w:rPr>
              <w:t xml:space="preserve">50.00 </w:t>
            </w:r>
          </w:p>
        </w:tc>
      </w:tr>
    </w:tbl>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br w:type="page"/>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3. 专业设置情况</w:t>
      </w:r>
    </w:p>
    <w:tbl>
      <w:tblPr>
        <w:tblStyle w:val="13"/>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06"/>
        <w:gridCol w:w="3127"/>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blHeader/>
        </w:trPr>
        <w:tc>
          <w:tcPr>
            <w:tcW w:w="110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rPr>
            </w:pPr>
            <w:r>
              <w:rPr>
                <w:rFonts w:hint="eastAsia" w:ascii="方正书宋简体" w:hAnsi="方正书宋简体" w:eastAsia="方正书宋简体" w:cs="方正书宋简体"/>
                <w:sz w:val="22"/>
              </w:rPr>
              <w:t>本科专业总数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rPr>
            </w:pPr>
            <w:r>
              <w:rPr>
                <w:rFonts w:hint="eastAsia" w:ascii="方正书宋简体" w:hAnsi="方正书宋简体" w:eastAsia="方正书宋简体" w:cs="方正书宋简体"/>
                <w:sz w:val="22"/>
              </w:rPr>
              <w:t>当年本科招生专业总数</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rPr>
            </w:pPr>
            <w:r>
              <w:rPr>
                <w:rFonts w:hint="eastAsia" w:ascii="方正书宋简体" w:hAnsi="方正书宋简体" w:eastAsia="方正书宋简体" w:cs="方正书宋简体"/>
                <w:sz w:val="22"/>
              </w:rPr>
              <w:t>新专业名单</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rPr>
            </w:pPr>
            <w:r>
              <w:rPr>
                <w:rFonts w:hint="eastAsia" w:ascii="方正书宋简体" w:hAnsi="方正书宋简体" w:eastAsia="方正书宋简体" w:cs="方正书宋简体"/>
                <w:sz w:val="22"/>
              </w:rPr>
              <w:t>当年停招专业名单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rPr>
            </w:pPr>
            <w:r>
              <w:rPr>
                <w:rFonts w:hint="eastAsia" w:ascii="方正书宋简体" w:hAnsi="方正书宋简体" w:eastAsia="方正书宋简体" w:cs="方正书宋简体"/>
                <w:sz w:val="22"/>
              </w:rPr>
              <w:t>44</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rPr>
            </w:pPr>
            <w:r>
              <w:rPr>
                <w:rFonts w:hint="eastAsia" w:ascii="方正书宋简体" w:hAnsi="方正书宋简体" w:eastAsia="方正书宋简体" w:cs="方正书宋简体"/>
                <w:sz w:val="22"/>
              </w:rPr>
              <w:t>42</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rPr>
            </w:pPr>
            <w:r>
              <w:rPr>
                <w:rFonts w:hint="eastAsia" w:ascii="方正书宋简体" w:hAnsi="方正书宋简体" w:eastAsia="方正书宋简体" w:cs="方正书宋简体"/>
                <w:sz w:val="22"/>
              </w:rPr>
              <w:t>统计学，戏剧影视文学，材料化学，财务管理，测绘工程，广播电视编导，机械设计制造及其自动化，金融工程，秘书学，商务英语</w:t>
            </w:r>
          </w:p>
        </w:tc>
        <w:tc>
          <w:tcPr>
            <w:tcW w:w="312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书宋简体" w:hAnsi="方正书宋简体" w:eastAsia="方正书宋简体" w:cs="方正书宋简体"/>
              </w:rPr>
            </w:pPr>
            <w:r>
              <w:rPr>
                <w:rFonts w:hint="eastAsia" w:ascii="方正书宋简体" w:hAnsi="方正书宋简体" w:eastAsia="方正书宋简体" w:cs="方正书宋简体"/>
                <w:sz w:val="22"/>
              </w:rPr>
              <w:t>统计学，戏剧影视文学</w:t>
            </w:r>
          </w:p>
        </w:tc>
      </w:tr>
    </w:tbl>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4. 生师比19.06</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5. 生均教学科研仪器设备值（元）10520.38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6. 当年新增教学科研仪器设备值（万元）598.51</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7. 生均图书（册）70.64</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8. 电子图书（册）454595</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9. 生均教学行政用房（平方米）11.04，生均实验室面积（平方米）1.62</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10. 生均本科教学日常运行支出（元）1520.31</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11. 本科专项教学经费（自然年度内学校立项用于本科教学改革和建设的专项经费总额）（万元）1914.29</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12. 生均本科实验经费（自然年度内学校用于实验教学运行、维护经费生均值）（元）150.56</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13. 生均本科实习经费（自然年度内用于本科培养方案内的实习环节支出经费生均值）（元）115</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14. 全校开设课程总门数1787</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注：学年度内实际开设的本科培养计划内课程总数，跨学期讲授的同一门课程计一门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15. 主讲本科课程的教授占教授总数的比例（不含讲座）97.36%</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16. 教授讲授本科课程占课程总门次数的比例8.37%</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17. 应届本科生毕业率97.75%</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18. 应届本科毕业生学位授予率99.31%</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19. 应届本科毕业生初次就业率89.43%</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20. 体质测试达标率94.4%</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21. 学生学习满意度（调查方法与结果）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2017-2018学年度，学校对所有在校学生进行了一次学生学习满意度调查，调查采用的问卷由教育部高等教育教学评估中心提供，共有26个问题项，其中包括教学质量、教学管理质量、学习环境、专业学习和实习实践和在校学习满意度四大方面的问题，题目设计采用李克特式五点量表。据调研结果显示，我校学生学习满意度较高，达到了90.44%，呈整体上升趋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22. 用人单位对毕业生满意度（调查方法与结果）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2018年7—10月，学校通过实地走访和网络问卷调查等方式对用人单位进行了跟踪回访，调查内容主要侧重于用人单位对我校毕业生素质、工作能力和工作表现的总体满意度。调查结果显示，参与调研的用人单位共计166家，对我校毕业生满意的用人单位有163家，占比为98.19%。）</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方正书宋简体" w:hAnsi="方正书宋简体" w:eastAsia="方正书宋简体" w:cs="方正书宋简体"/>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4"/>
          <w:szCs w:val="24"/>
        </w:rPr>
      </w:pPr>
      <w:r>
        <w:rPr>
          <w:rFonts w:hint="eastAsia" w:ascii="方正书宋简体" w:hAnsi="方正书宋简体" w:eastAsia="方正书宋简体" w:cs="方正书宋简体"/>
          <w:sz w:val="24"/>
          <w:szCs w:val="24"/>
        </w:rPr>
        <w:t>23. 其它与本科教学质量相关数据</w:t>
      </w:r>
    </w:p>
    <w:p/>
    <w:sectPr>
      <w:headerReference r:id="rId3" w:type="default"/>
      <w:footerReference r:id="rId5" w:type="default"/>
      <w:headerReference r:id="rId4" w:type="even"/>
      <w:footerReference r:id="rId6" w:type="even"/>
      <w:pgSz w:w="11906" w:h="16838"/>
      <w:pgMar w:top="1440" w:right="1800" w:bottom="1440" w:left="1800" w:header="850" w:footer="992" w:gutter="0"/>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lang w:eastAsia="zh-CN"/>
                            </w:rPr>
                            <w:fldChar w:fldCharType="begin"/>
                          </w:r>
                          <w:r>
                            <w:rPr>
                              <w:rFonts w:hint="eastAsia" w:ascii="方正书宋简体" w:hAnsi="方正书宋简体" w:eastAsia="方正书宋简体" w:cs="方正书宋简体"/>
                              <w:sz w:val="20"/>
                              <w:szCs w:val="20"/>
                              <w:lang w:eastAsia="zh-CN"/>
                            </w:rPr>
                            <w:instrText xml:space="preserve"> PAGE  \* MERGEFORMAT </w:instrText>
                          </w:r>
                          <w:r>
                            <w:rPr>
                              <w:rFonts w:hint="eastAsia" w:ascii="方正书宋简体" w:hAnsi="方正书宋简体" w:eastAsia="方正书宋简体" w:cs="方正书宋简体"/>
                              <w:sz w:val="20"/>
                              <w:szCs w:val="20"/>
                              <w:lang w:eastAsia="zh-CN"/>
                            </w:rPr>
                            <w:fldChar w:fldCharType="separate"/>
                          </w:r>
                          <w:r>
                            <w:rPr>
                              <w:rFonts w:hint="eastAsia" w:ascii="方正书宋简体" w:hAnsi="方正书宋简体" w:eastAsia="方正书宋简体" w:cs="方正书宋简体"/>
                              <w:sz w:val="20"/>
                              <w:szCs w:val="20"/>
                              <w:lang w:eastAsia="zh-CN"/>
                            </w:rPr>
                            <w:t>5</w:t>
                          </w:r>
                          <w:r>
                            <w:rPr>
                              <w:rFonts w:hint="eastAsia" w:ascii="方正书宋简体" w:hAnsi="方正书宋简体" w:eastAsia="方正书宋简体" w:cs="方正书宋简体"/>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lang w:eastAsia="zh-CN"/>
                      </w:rPr>
                      <w:fldChar w:fldCharType="begin"/>
                    </w:r>
                    <w:r>
                      <w:rPr>
                        <w:rFonts w:hint="eastAsia" w:ascii="方正书宋简体" w:hAnsi="方正书宋简体" w:eastAsia="方正书宋简体" w:cs="方正书宋简体"/>
                        <w:sz w:val="20"/>
                        <w:szCs w:val="20"/>
                        <w:lang w:eastAsia="zh-CN"/>
                      </w:rPr>
                      <w:instrText xml:space="preserve"> PAGE  \* MERGEFORMAT </w:instrText>
                    </w:r>
                    <w:r>
                      <w:rPr>
                        <w:rFonts w:hint="eastAsia" w:ascii="方正书宋简体" w:hAnsi="方正书宋简体" w:eastAsia="方正书宋简体" w:cs="方正书宋简体"/>
                        <w:sz w:val="20"/>
                        <w:szCs w:val="20"/>
                        <w:lang w:eastAsia="zh-CN"/>
                      </w:rPr>
                      <w:fldChar w:fldCharType="separate"/>
                    </w:r>
                    <w:r>
                      <w:rPr>
                        <w:rFonts w:hint="eastAsia" w:ascii="方正书宋简体" w:hAnsi="方正书宋简体" w:eastAsia="方正书宋简体" w:cs="方正书宋简体"/>
                        <w:sz w:val="20"/>
                        <w:szCs w:val="20"/>
                        <w:lang w:eastAsia="zh-CN"/>
                      </w:rPr>
                      <w:t>5</w:t>
                    </w:r>
                    <w:r>
                      <w:rPr>
                        <w:rFonts w:hint="eastAsia" w:ascii="方正书宋简体" w:hAnsi="方正书宋简体" w:eastAsia="方正书宋简体" w:cs="方正书宋简体"/>
                        <w:sz w:val="20"/>
                        <w:szCs w:val="2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lang w:eastAsia="zh-CN"/>
                            </w:rPr>
                            <w:fldChar w:fldCharType="begin"/>
                          </w:r>
                          <w:r>
                            <w:rPr>
                              <w:rFonts w:hint="eastAsia" w:ascii="方正书宋简体" w:hAnsi="方正书宋简体" w:eastAsia="方正书宋简体" w:cs="方正书宋简体"/>
                              <w:sz w:val="20"/>
                              <w:szCs w:val="20"/>
                              <w:lang w:eastAsia="zh-CN"/>
                            </w:rPr>
                            <w:instrText xml:space="preserve"> PAGE  \* MERGEFORMAT </w:instrText>
                          </w:r>
                          <w:r>
                            <w:rPr>
                              <w:rFonts w:hint="eastAsia" w:ascii="方正书宋简体" w:hAnsi="方正书宋简体" w:eastAsia="方正书宋简体" w:cs="方正书宋简体"/>
                              <w:sz w:val="20"/>
                              <w:szCs w:val="20"/>
                              <w:lang w:eastAsia="zh-CN"/>
                            </w:rPr>
                            <w:fldChar w:fldCharType="separate"/>
                          </w:r>
                          <w:r>
                            <w:rPr>
                              <w:rFonts w:hint="eastAsia" w:ascii="方正书宋简体" w:hAnsi="方正书宋简体" w:eastAsia="方正书宋简体" w:cs="方正书宋简体"/>
                              <w:sz w:val="20"/>
                              <w:szCs w:val="20"/>
                              <w:lang w:eastAsia="zh-CN"/>
                            </w:rPr>
                            <w:t>2</w:t>
                          </w:r>
                          <w:r>
                            <w:rPr>
                              <w:rFonts w:hint="eastAsia" w:ascii="方正书宋简体" w:hAnsi="方正书宋简体" w:eastAsia="方正书宋简体" w:cs="方正书宋简体"/>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方正书宋简体" w:hAnsi="方正书宋简体" w:eastAsia="方正书宋简体" w:cs="方正书宋简体"/>
                        <w:sz w:val="20"/>
                        <w:szCs w:val="20"/>
                        <w:lang w:eastAsia="zh-CN"/>
                      </w:rPr>
                    </w:pPr>
                    <w:r>
                      <w:rPr>
                        <w:rFonts w:hint="eastAsia" w:ascii="方正书宋简体" w:hAnsi="方正书宋简体" w:eastAsia="方正书宋简体" w:cs="方正书宋简体"/>
                        <w:sz w:val="20"/>
                        <w:szCs w:val="20"/>
                        <w:lang w:eastAsia="zh-CN"/>
                      </w:rPr>
                      <w:fldChar w:fldCharType="begin"/>
                    </w:r>
                    <w:r>
                      <w:rPr>
                        <w:rFonts w:hint="eastAsia" w:ascii="方正书宋简体" w:hAnsi="方正书宋简体" w:eastAsia="方正书宋简体" w:cs="方正书宋简体"/>
                        <w:sz w:val="20"/>
                        <w:szCs w:val="20"/>
                        <w:lang w:eastAsia="zh-CN"/>
                      </w:rPr>
                      <w:instrText xml:space="preserve"> PAGE  \* MERGEFORMAT </w:instrText>
                    </w:r>
                    <w:r>
                      <w:rPr>
                        <w:rFonts w:hint="eastAsia" w:ascii="方正书宋简体" w:hAnsi="方正书宋简体" w:eastAsia="方正书宋简体" w:cs="方正书宋简体"/>
                        <w:sz w:val="20"/>
                        <w:szCs w:val="20"/>
                        <w:lang w:eastAsia="zh-CN"/>
                      </w:rPr>
                      <w:fldChar w:fldCharType="separate"/>
                    </w:r>
                    <w:r>
                      <w:rPr>
                        <w:rFonts w:hint="eastAsia" w:ascii="方正书宋简体" w:hAnsi="方正书宋简体" w:eastAsia="方正书宋简体" w:cs="方正书宋简体"/>
                        <w:sz w:val="20"/>
                        <w:szCs w:val="20"/>
                        <w:lang w:eastAsia="zh-CN"/>
                      </w:rPr>
                      <w:t>2</w:t>
                    </w:r>
                    <w:r>
                      <w:rPr>
                        <w:rFonts w:hint="eastAsia" w:ascii="方正书宋简体" w:hAnsi="方正书宋简体" w:eastAsia="方正书宋简体" w:cs="方正书宋简体"/>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single" w:color="auto" w:sz="4" w:space="1"/>
      </w:pBdr>
      <w:tabs>
        <w:tab w:val="left" w:pos="1339"/>
      </w:tabs>
      <w:kinsoku/>
      <w:wordWrap/>
      <w:overflowPunct/>
      <w:topLinePunct w:val="0"/>
      <w:autoSpaceDE/>
      <w:autoSpaceDN/>
      <w:bidi w:val="0"/>
      <w:adjustRightInd/>
      <w:snapToGrid w:val="0"/>
      <w:jc w:val="center"/>
      <w:textAlignment w:val="auto"/>
      <w:rPr>
        <w:rFonts w:hint="eastAsia"/>
        <w:lang w:eastAsia="zh-CN"/>
      </w:rPr>
    </w:pPr>
    <w:r>
      <w:rPr>
        <w:rFonts w:hint="eastAsia"/>
        <w:lang w:eastAsia="zh-CN"/>
      </w:rPr>
      <w:drawing>
        <wp:anchor distT="0" distB="0" distL="114300" distR="114300" simplePos="0" relativeHeight="251660288" behindDoc="0" locked="0" layoutInCell="1" allowOverlap="1">
          <wp:simplePos x="0" y="0"/>
          <wp:positionH relativeFrom="column">
            <wp:posOffset>17780</wp:posOffset>
          </wp:positionH>
          <wp:positionV relativeFrom="paragraph">
            <wp:posOffset>107315</wp:posOffset>
          </wp:positionV>
          <wp:extent cx="1516380" cy="379095"/>
          <wp:effectExtent l="0" t="0" r="7620" b="0"/>
          <wp:wrapNone/>
          <wp:docPr id="5" name="图片 5"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页眉"/>
                  <pic:cNvPicPr>
                    <a:picLocks noChangeAspect="1"/>
                  </pic:cNvPicPr>
                </pic:nvPicPr>
                <pic:blipFill>
                  <a:blip r:embed="rId1"/>
                  <a:stretch>
                    <a:fillRect/>
                  </a:stretch>
                </pic:blipFill>
                <pic:spPr>
                  <a:xfrm>
                    <a:off x="0" y="0"/>
                    <a:ext cx="1516380" cy="379095"/>
                  </a:xfrm>
                  <a:prstGeom prst="rect">
                    <a:avLst/>
                  </a:prstGeom>
                </pic:spPr>
              </pic:pic>
            </a:graphicData>
          </a:graphic>
        </wp:anchor>
      </w:drawing>
    </w:r>
  </w:p>
  <w:p>
    <w:pPr>
      <w:pStyle w:val="7"/>
      <w:keepNext w:val="0"/>
      <w:keepLines w:val="0"/>
      <w:pageBreakBefore w:val="0"/>
      <w:widowControl w:val="0"/>
      <w:pBdr>
        <w:bottom w:val="single" w:color="auto" w:sz="4" w:space="1"/>
      </w:pBdr>
      <w:tabs>
        <w:tab w:val="left" w:pos="1339"/>
      </w:tabs>
      <w:kinsoku/>
      <w:wordWrap/>
      <w:overflowPunct/>
      <w:topLinePunct w:val="0"/>
      <w:autoSpaceDE/>
      <w:autoSpaceDN/>
      <w:bidi w:val="0"/>
      <w:adjustRightInd/>
      <w:snapToGrid w:val="0"/>
      <w:spacing w:line="100" w:lineRule="exact"/>
      <w:jc w:val="center"/>
      <w:textAlignment w:val="auto"/>
      <w:rPr>
        <w:rFonts w:hint="eastAsia"/>
        <w:lang w:eastAsia="zh-CN"/>
      </w:rPr>
    </w:pPr>
  </w:p>
  <w:p>
    <w:pPr>
      <w:pStyle w:val="7"/>
      <w:keepNext w:val="0"/>
      <w:keepLines w:val="0"/>
      <w:pageBreakBefore w:val="0"/>
      <w:widowControl w:val="0"/>
      <w:pBdr>
        <w:bottom w:val="single" w:color="auto" w:sz="4" w:space="1"/>
      </w:pBdr>
      <w:tabs>
        <w:tab w:val="left" w:pos="1339"/>
      </w:tabs>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eastAsia="zh-CN"/>
      </w:rPr>
    </w:pPr>
    <w:r>
      <w:rPr>
        <w:rFonts w:hint="eastAsia"/>
        <w:lang w:eastAsia="zh-CN"/>
      </w:rPr>
      <w:tab/>
    </w:r>
    <w:r>
      <w:rPr>
        <w:rFonts w:hint="eastAsia"/>
        <w:lang w:val="en-US" w:eastAsia="zh-CN"/>
      </w:rPr>
      <w:t xml:space="preserve">                                                     </w:t>
    </w:r>
    <w:r>
      <w:rPr>
        <w:rFonts w:hint="eastAsia" w:ascii="黑体" w:hAnsi="黑体" w:eastAsia="黑体" w:cs="黑体"/>
        <w:lang w:val="en-US" w:eastAsia="zh-CN"/>
      </w:rPr>
      <w:t xml:space="preserve">   </w:t>
    </w:r>
    <w:r>
      <w:rPr>
        <w:rFonts w:hint="eastAsia" w:ascii="仿宋_GB2312" w:hAnsi="仿宋_GB2312" w:eastAsia="仿宋_GB2312" w:cs="仿宋_GB2312"/>
        <w:sz w:val="24"/>
        <w:szCs w:val="24"/>
        <w:lang w:eastAsia="zh-CN"/>
      </w:rPr>
      <w:t>本科教学质量报告</w:t>
    </w:r>
  </w:p>
  <w:p>
    <w:pPr>
      <w:pStyle w:val="7"/>
      <w:keepNext w:val="0"/>
      <w:keepLines w:val="0"/>
      <w:pageBreakBefore w:val="0"/>
      <w:widowControl w:val="0"/>
      <w:pBdr>
        <w:bottom w:val="single" w:color="auto" w:sz="4" w:space="1"/>
      </w:pBdr>
      <w:tabs>
        <w:tab w:val="left" w:pos="1339"/>
      </w:tabs>
      <w:kinsoku/>
      <w:wordWrap/>
      <w:overflowPunct/>
      <w:topLinePunct w:val="0"/>
      <w:autoSpaceDE/>
      <w:autoSpaceDN/>
      <w:bidi w:val="0"/>
      <w:adjustRightInd/>
      <w:snapToGrid w:val="0"/>
      <w:spacing w:line="100" w:lineRule="exact"/>
      <w:jc w:val="center"/>
      <w:textAlignment w:val="auto"/>
      <w:rPr>
        <w:rFonts w:hint="eastAsia" w:ascii="仿宋_GB2312" w:hAnsi="仿宋_GB2312" w:eastAsia="仿宋_GB2312" w:cs="仿宋_GB2312"/>
        <w:sz w:val="24"/>
        <w:szCs w:val="24"/>
        <w:lang w:val="en-US" w:eastAsia="zh-CN"/>
      </w:rPr>
    </w:pPr>
  </w:p>
  <w:p>
    <w:pPr>
      <w:pStyle w:val="7"/>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tabs>
        <w:tab w:val="left" w:pos="1339"/>
      </w:tabs>
      <w:kinsoku/>
      <w:wordWrap/>
      <w:overflowPunct/>
      <w:topLinePunct w:val="0"/>
      <w:autoSpaceDE/>
      <w:autoSpaceDN/>
      <w:bidi w:val="0"/>
      <w:adjustRightInd/>
      <w:snapToGrid w:val="0"/>
      <w:jc w:val="center"/>
      <w:textAlignment w:val="auto"/>
      <w:rPr>
        <w:rFonts w:hint="eastAsia"/>
        <w:lang w:eastAsia="zh-CN"/>
      </w:rPr>
    </w:pPr>
  </w:p>
  <w:p>
    <w:pPr>
      <w:pStyle w:val="7"/>
      <w:keepNext w:val="0"/>
      <w:keepLines w:val="0"/>
      <w:pageBreakBefore w:val="0"/>
      <w:widowControl w:val="0"/>
      <w:pBdr>
        <w:bottom w:val="single" w:color="auto" w:sz="4" w:space="1"/>
      </w:pBdr>
      <w:tabs>
        <w:tab w:val="left" w:pos="1339"/>
      </w:tabs>
      <w:kinsoku/>
      <w:wordWrap/>
      <w:overflowPunct/>
      <w:topLinePunct w:val="0"/>
      <w:autoSpaceDE/>
      <w:autoSpaceDN/>
      <w:bidi w:val="0"/>
      <w:adjustRightInd/>
      <w:snapToGrid w:val="0"/>
      <w:spacing w:after="0" w:afterLines="50"/>
      <w:jc w:val="left"/>
      <w:textAlignment w:val="auto"/>
      <w:rPr>
        <w:rFonts w:hint="eastAsia"/>
        <w:lang w:eastAsia="zh-CN"/>
      </w:rPr>
    </w:pPr>
    <w:r>
      <w:rPr>
        <w:rFonts w:hint="eastAsia"/>
        <w:lang w:eastAsia="zh-CN"/>
      </w:rPr>
      <w:drawing>
        <wp:inline distT="0" distB="0" distL="114300" distR="114300">
          <wp:extent cx="259715" cy="296545"/>
          <wp:effectExtent l="0" t="0" r="6985" b="8255"/>
          <wp:docPr id="19" name="图片 19" descr="校徽科技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校徽科技学院"/>
                  <pic:cNvPicPr>
                    <a:picLocks noChangeAspect="1"/>
                  </pic:cNvPicPr>
                </pic:nvPicPr>
                <pic:blipFill>
                  <a:blip r:embed="rId1"/>
                  <a:srcRect b="-15309"/>
                  <a:stretch>
                    <a:fillRect/>
                  </a:stretch>
                </pic:blipFill>
                <pic:spPr>
                  <a:xfrm>
                    <a:off x="0" y="0"/>
                    <a:ext cx="259715" cy="296545"/>
                  </a:xfrm>
                  <a:prstGeom prst="rect">
                    <a:avLst/>
                  </a:prstGeom>
                </pic:spPr>
              </pic:pic>
            </a:graphicData>
          </a:graphic>
        </wp:inline>
      </w:drawing>
    </w:r>
    <w:r>
      <w:rPr>
        <w:rFonts w:hint="eastAsia"/>
        <w:lang w:eastAsia="zh-CN"/>
      </w:rPr>
      <w:drawing>
        <wp:inline distT="0" distB="0" distL="114300" distR="114300">
          <wp:extent cx="1581150" cy="316865"/>
          <wp:effectExtent l="0" t="0" r="0" b="0"/>
          <wp:docPr id="20" name="图片 20"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未标题-1"/>
                  <pic:cNvPicPr>
                    <a:picLocks noChangeAspect="1"/>
                  </pic:cNvPicPr>
                </pic:nvPicPr>
                <pic:blipFill>
                  <a:blip r:embed="rId2"/>
                  <a:srcRect b="-17689"/>
                  <a:stretch>
                    <a:fillRect/>
                  </a:stretch>
                </pic:blipFill>
                <pic:spPr>
                  <a:xfrm>
                    <a:off x="0" y="0"/>
                    <a:ext cx="1581150" cy="316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87F88A"/>
    <w:multiLevelType w:val="singleLevel"/>
    <w:tmpl w:val="D787F88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evenAndOddHeaders w:val="1"/>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6576E"/>
    <w:rsid w:val="022822F5"/>
    <w:rsid w:val="0EA9470D"/>
    <w:rsid w:val="0FC34D2C"/>
    <w:rsid w:val="12350C2D"/>
    <w:rsid w:val="13F26A01"/>
    <w:rsid w:val="1614491F"/>
    <w:rsid w:val="218F6FC5"/>
    <w:rsid w:val="22104660"/>
    <w:rsid w:val="22431A32"/>
    <w:rsid w:val="2F551229"/>
    <w:rsid w:val="328457F9"/>
    <w:rsid w:val="3BD60B43"/>
    <w:rsid w:val="3D0D52BB"/>
    <w:rsid w:val="3E816274"/>
    <w:rsid w:val="47843BEF"/>
    <w:rsid w:val="49AB2EDF"/>
    <w:rsid w:val="4AAE131B"/>
    <w:rsid w:val="4D55388E"/>
    <w:rsid w:val="4D795125"/>
    <w:rsid w:val="542C5A8F"/>
    <w:rsid w:val="55D03831"/>
    <w:rsid w:val="61BE7178"/>
    <w:rsid w:val="68F6576E"/>
    <w:rsid w:val="6C9033A2"/>
    <w:rsid w:val="757074EA"/>
    <w:rsid w:val="79190A2F"/>
    <w:rsid w:val="79F14399"/>
    <w:rsid w:val="7F2D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99"/>
    <w:rPr>
      <w:color w:val="0563C1" w:themeColor="hyperlink"/>
      <w:u w:val="single"/>
      <w14:textFill>
        <w14:solidFill>
          <w14:schemeClr w14:val="hlink"/>
        </w14:solidFill>
      </w14:textFill>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5.png" Type="http://schemas.openxmlformats.org/officeDocument/2006/relationships/image"/><Relationship Id="rId11" Target="media/image6.png" Type="http://schemas.openxmlformats.org/officeDocument/2006/relationships/image"/><Relationship Id="rId12" Target="media/image7.png" Type="http://schemas.openxmlformats.org/officeDocument/2006/relationships/image"/><Relationship Id="rId13" Target="media/image8.png" Type="http://schemas.openxmlformats.org/officeDocument/2006/relationships/image"/><Relationship Id="rId14" Target="media/image9.png" Type="http://schemas.openxmlformats.org/officeDocument/2006/relationships/imag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media/image3.png" Type="http://schemas.openxmlformats.org/officeDocument/2006/relationships/image"/><Relationship Id="rId9" Target="media/image4.png" Type="http://schemas.openxmlformats.org/officeDocument/2006/relationships/imag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_rels/header2.xml.rels><?xml version="1.0" encoding="UTF-8" standalone="no"?><Relationships xmlns="http://schemas.openxmlformats.org/package/2006/relationships"><Relationship Id="rId1" Target="media/image2.png" Type="http://schemas.openxmlformats.org/officeDocument/2006/relationships/image"/><Relationship Id="rId2" Target="media/image1.tiff"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26977</Words>
  <Characters>29482</Characters>
  <Lines>0</Lines>
  <Paragraphs>0</Paragraphs>
  <TotalTime>63</TotalTime>
  <ScaleCrop>false</ScaleCrop>
  <LinksUpToDate>false</LinksUpToDate>
  <CharactersWithSpaces>30049</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2018-12-11T09:24:00Z</dcterms:created>
  <dc:creator>Administrator</dc:creator>
  <cp:lastModifiedBy>小笨</cp:lastModifiedBy>
  <cp:lastPrinted>2018-12-12T07:49:00Z</cp:lastPrinted>
  <dcterms:modified xsi:type="dcterms:W3CDTF">2018-12-17T08:36:18Z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