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right="0"/>
        <w:jc w:val="left"/>
        <w:rPr>
          <w:rFonts w:hint="default" w:ascii="SunSim" w:hAnsi="SunSim" w:eastAsia="SunSim" w:cs="SunSim"/>
          <w:i w:val="0"/>
          <w:caps w:val="0"/>
          <w:color w:val="auto"/>
          <w:spacing w:val="0"/>
          <w:sz w:val="21"/>
          <w:szCs w:val="21"/>
        </w:rPr>
      </w:pPr>
      <w:r>
        <w:rPr>
          <w:rFonts w:hint="eastAsia" w:ascii="黑体" w:hAnsi="黑体" w:eastAsia="黑体" w:cs="黑体"/>
          <w:i w:val="0"/>
          <w:caps w:val="0"/>
          <w:color w:val="auto"/>
          <w:spacing w:val="0"/>
          <w:sz w:val="28"/>
          <w:szCs w:val="28"/>
          <w:shd w:val="clear" w:fill="FFFFFF"/>
          <w:lang w:eastAsia="zh-CN"/>
        </w:rPr>
        <w:t>附件</w:t>
      </w:r>
      <w:r>
        <w:rPr>
          <w:rFonts w:hint="eastAsia" w:ascii="黑体" w:hAnsi="黑体" w:eastAsia="黑体" w:cs="黑体"/>
          <w:i w:val="0"/>
          <w:caps w:val="0"/>
          <w:color w:val="auto"/>
          <w:spacing w:val="0"/>
          <w:sz w:val="28"/>
          <w:szCs w:val="28"/>
          <w:shd w:val="clear" w:fill="FFFFFF"/>
          <w:lang w:val="en-US" w:eastAsia="zh-CN"/>
        </w:rPr>
        <w:t>2：</w:t>
      </w:r>
      <w:r>
        <w:rPr>
          <w:rFonts w:hint="eastAsia" w:ascii="黑体" w:hAnsi="黑体" w:eastAsia="黑体" w:cs="黑体"/>
          <w:i w:val="0"/>
          <w:caps w:val="0"/>
          <w:color w:val="auto"/>
          <w:spacing w:val="0"/>
          <w:sz w:val="28"/>
          <w:szCs w:val="28"/>
          <w:shd w:val="clear" w:fill="FFFFFF"/>
        </w:rPr>
        <w:t xml:space="preserve">    </w:t>
      </w:r>
      <w:r>
        <w:rPr>
          <w:rFonts w:ascii="Calibri" w:hAnsi="Calibri" w:eastAsia="SunSim" w:cs="Calibri"/>
          <w:i w:val="0"/>
          <w:caps w:val="0"/>
          <w:color w:val="auto"/>
          <w:spacing w:val="0"/>
          <w:sz w:val="31"/>
          <w:szCs w:val="31"/>
          <w:shd w:val="clear" w:fill="FFFFFF"/>
        </w:rPr>
        <w:t>                                    </w:t>
      </w:r>
      <w:r>
        <w:rPr>
          <w:rFonts w:hint="default" w:ascii="Calibri" w:hAnsi="Calibri" w:eastAsia="SunSim" w:cs="Calibri"/>
          <w:i w:val="0"/>
          <w:caps w:val="0"/>
          <w:color w:val="auto"/>
          <w:spacing w:val="0"/>
          <w:sz w:val="31"/>
          <w:szCs w:val="31"/>
          <w:shd w:val="clear" w:fill="FFFFFF"/>
        </w:rPr>
        <w:t> </w:t>
      </w:r>
    </w:p>
    <w:tbl>
      <w:tblPr>
        <w:tblStyle w:val="3"/>
        <w:tblW w:w="9021" w:type="dxa"/>
        <w:jc w:val="center"/>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11"/>
        <w:gridCol w:w="4515"/>
        <w:gridCol w:w="229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65" w:hRule="atLeast"/>
          <w:jc w:val="center"/>
        </w:trPr>
        <w:tc>
          <w:tcPr>
            <w:tcW w:w="9021" w:type="dxa"/>
            <w:gridSpan w:val="4"/>
            <w:tcBorders>
              <w:top w:val="nil"/>
              <w:left w:val="nil"/>
              <w:bottom w:val="single" w:color="auto" w:sz="6" w:space="0"/>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i w:val="0"/>
                <w:caps w:val="0"/>
                <w:color w:val="auto"/>
                <w:spacing w:val="0"/>
                <w:sz w:val="40"/>
                <w:szCs w:val="40"/>
                <w:lang w:val="en-US" w:eastAsia="zh-CN"/>
              </w:rPr>
            </w:pPr>
            <w:bookmarkStart w:id="0" w:name="_GoBack"/>
            <w:r>
              <w:rPr>
                <w:rFonts w:hint="eastAsia" w:ascii="方正小标宋简体" w:hAnsi="方正小标宋简体" w:eastAsia="方正小标宋简体" w:cs="方正小标宋简体"/>
                <w:i w:val="0"/>
                <w:caps w:val="0"/>
                <w:color w:val="auto"/>
                <w:spacing w:val="0"/>
                <w:sz w:val="40"/>
                <w:szCs w:val="40"/>
                <w:lang w:val="en-US" w:eastAsia="zh-CN"/>
              </w:rPr>
              <w:t>推荐申报</w:t>
            </w:r>
            <w:r>
              <w:rPr>
                <w:rFonts w:hint="eastAsia" w:ascii="方正小标宋简体" w:hAnsi="方正小标宋简体" w:eastAsia="方正小标宋简体" w:cs="方正小标宋简体"/>
                <w:i w:val="0"/>
                <w:caps w:val="0"/>
                <w:color w:val="auto"/>
                <w:spacing w:val="0"/>
                <w:sz w:val="40"/>
                <w:szCs w:val="40"/>
                <w:lang w:eastAsia="zh-CN"/>
              </w:rPr>
              <w:t>湖南省</w:t>
            </w:r>
            <w:r>
              <w:rPr>
                <w:rFonts w:hint="eastAsia" w:ascii="方正小标宋简体" w:hAnsi="方正小标宋简体" w:eastAsia="方正小标宋简体" w:cs="方正小标宋简体"/>
                <w:i w:val="0"/>
                <w:caps w:val="0"/>
                <w:color w:val="auto"/>
                <w:spacing w:val="0"/>
                <w:sz w:val="40"/>
                <w:szCs w:val="40"/>
              </w:rPr>
              <w:t>高等教育教学成果</w:t>
            </w:r>
            <w:r>
              <w:rPr>
                <w:rFonts w:hint="eastAsia" w:ascii="方正小标宋简体" w:hAnsi="方正小标宋简体" w:eastAsia="方正小标宋简体" w:cs="方正小标宋简体"/>
                <w:i w:val="0"/>
                <w:caps w:val="0"/>
                <w:color w:val="auto"/>
                <w:spacing w:val="0"/>
                <w:sz w:val="40"/>
                <w:szCs w:val="40"/>
                <w:lang w:eastAsia="zh-CN"/>
              </w:rPr>
              <w:t>奖</w:t>
            </w:r>
            <w:r>
              <w:rPr>
                <w:rFonts w:hint="eastAsia" w:ascii="方正小标宋简体" w:hAnsi="方正小标宋简体" w:eastAsia="方正小标宋简体" w:cs="方正小标宋简体"/>
                <w:i w:val="0"/>
                <w:caps w:val="0"/>
                <w:color w:val="auto"/>
                <w:spacing w:val="0"/>
                <w:sz w:val="40"/>
                <w:szCs w:val="40"/>
              </w:rPr>
              <w:t>名单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71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5"/>
                <w:rFonts w:ascii="仿宋_GB2312" w:hAnsi="SunSim" w:eastAsia="仿宋_GB2312" w:cs="仿宋_GB2312"/>
                <w:i w:val="0"/>
                <w:caps w:val="0"/>
                <w:color w:val="auto"/>
                <w:spacing w:val="0"/>
                <w:sz w:val="24"/>
                <w:szCs w:val="24"/>
              </w:rPr>
              <w:t>序号</w:t>
            </w:r>
          </w:p>
        </w:tc>
        <w:tc>
          <w:tcPr>
            <w:tcW w:w="45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5"/>
                <w:rFonts w:hint="default" w:ascii="仿宋_GB2312" w:hAnsi="SunSim" w:eastAsia="仿宋_GB2312" w:cs="仿宋_GB2312"/>
                <w:i w:val="0"/>
                <w:caps w:val="0"/>
                <w:color w:val="auto"/>
                <w:spacing w:val="0"/>
                <w:sz w:val="24"/>
                <w:szCs w:val="24"/>
              </w:rPr>
              <w:t>成果名称</w:t>
            </w:r>
          </w:p>
        </w:tc>
        <w:tc>
          <w:tcPr>
            <w:tcW w:w="22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5"/>
                <w:rFonts w:hint="default" w:ascii="仿宋_GB2312" w:hAnsi="SunSim" w:eastAsia="仿宋_GB2312" w:cs="仿宋_GB2312"/>
                <w:i w:val="0"/>
                <w:caps w:val="0"/>
                <w:color w:val="auto"/>
                <w:spacing w:val="0"/>
                <w:sz w:val="24"/>
                <w:szCs w:val="24"/>
              </w:rPr>
              <w:t>成果</w:t>
            </w:r>
            <w:r>
              <w:rPr>
                <w:rStyle w:val="5"/>
                <w:rFonts w:hint="eastAsia" w:ascii="仿宋_GB2312" w:hAnsi="SunSim" w:eastAsia="仿宋_GB2312" w:cs="仿宋_GB2312"/>
                <w:i w:val="0"/>
                <w:caps w:val="0"/>
                <w:color w:val="auto"/>
                <w:spacing w:val="0"/>
                <w:sz w:val="24"/>
                <w:szCs w:val="24"/>
                <w:lang w:eastAsia="zh-CN"/>
              </w:rPr>
              <w:t>主要完成</w:t>
            </w:r>
            <w:r>
              <w:rPr>
                <w:rStyle w:val="5"/>
                <w:rFonts w:hint="default" w:ascii="仿宋_GB2312" w:hAnsi="SunSim" w:eastAsia="仿宋_GB2312" w:cs="仿宋_GB2312"/>
                <w:i w:val="0"/>
                <w:caps w:val="0"/>
                <w:color w:val="auto"/>
                <w:spacing w:val="0"/>
                <w:sz w:val="24"/>
                <w:szCs w:val="24"/>
              </w:rPr>
              <w:t>人</w:t>
            </w:r>
          </w:p>
        </w:tc>
        <w:tc>
          <w:tcPr>
            <w:tcW w:w="15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仿宋_GB2312" w:hAnsi="SunSim" w:eastAsia="仿宋_GB2312" w:cs="仿宋_GB2312"/>
                <w:i w:val="0"/>
                <w:caps w:val="0"/>
                <w:color w:val="auto"/>
                <w:spacing w:val="0"/>
                <w:sz w:val="24"/>
                <w:szCs w:val="24"/>
                <w:lang w:eastAsia="zh-CN"/>
              </w:rPr>
            </w:pPr>
            <w:r>
              <w:rPr>
                <w:rStyle w:val="5"/>
                <w:rFonts w:hint="eastAsia" w:ascii="仿宋_GB2312" w:hAnsi="SunSim" w:eastAsia="仿宋_GB2312" w:cs="仿宋_GB2312"/>
                <w:i w:val="0"/>
                <w:caps w:val="0"/>
                <w:color w:val="auto"/>
                <w:spacing w:val="0"/>
                <w:sz w:val="24"/>
                <w:szCs w:val="24"/>
                <w:lang w:eastAsia="zh-CN"/>
              </w:rPr>
              <w:t>成果类型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71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color w:val="auto"/>
                <w:lang w:eastAsia="zh-CN"/>
              </w:rPr>
            </w:pPr>
            <w:r>
              <w:rPr>
                <w:rFonts w:hint="eastAsia" w:ascii="仿宋" w:hAnsi="仿宋" w:eastAsia="仿宋" w:cs="仿宋"/>
                <w:i w:val="0"/>
                <w:caps w:val="0"/>
                <w:color w:val="auto"/>
                <w:spacing w:val="0"/>
                <w:sz w:val="21"/>
                <w:szCs w:val="21"/>
                <w:lang w:val="en-US" w:eastAsia="zh-CN"/>
              </w:rPr>
              <w:t>1</w:t>
            </w:r>
          </w:p>
        </w:tc>
        <w:tc>
          <w:tcPr>
            <w:tcW w:w="45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rPr>
            </w:pPr>
            <w:r>
              <w:rPr>
                <w:rFonts w:hint="eastAsia" w:ascii="仿宋" w:hAnsi="仿宋" w:eastAsia="仿宋" w:cs="仿宋"/>
                <w:sz w:val="21"/>
                <w:szCs w:val="21"/>
                <w:lang w:val="en-US" w:eastAsia="zh-CN"/>
              </w:rPr>
              <w:t>以教师教学能力提升为突破口的“三四五”应用型人才培养模式研究与实践</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rPr>
            </w:pPr>
            <w:r>
              <w:rPr>
                <w:rFonts w:hint="eastAsia" w:ascii="仿宋" w:hAnsi="仿宋" w:eastAsia="仿宋" w:cs="仿宋"/>
                <w:sz w:val="21"/>
                <w:szCs w:val="21"/>
                <w:lang w:val="en-US" w:eastAsia="zh-CN"/>
              </w:rPr>
              <w:t>李常健、曾宝成、陈弘、聂志成、石循忠</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普通本科教育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71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仿宋" w:hAnsi="仿宋" w:eastAsia="仿宋" w:cs="仿宋"/>
                <w:i w:val="0"/>
                <w:caps w:val="0"/>
                <w:color w:val="auto"/>
                <w:spacing w:val="0"/>
                <w:sz w:val="21"/>
                <w:szCs w:val="21"/>
              </w:rPr>
              <w:t>2</w:t>
            </w:r>
          </w:p>
        </w:tc>
        <w:tc>
          <w:tcPr>
            <w:tcW w:w="45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rPr>
            </w:pPr>
            <w:r>
              <w:rPr>
                <w:rFonts w:hint="eastAsia" w:ascii="仿宋" w:hAnsi="仿宋" w:eastAsia="仿宋" w:cs="仿宋"/>
                <w:sz w:val="21"/>
                <w:szCs w:val="21"/>
              </w:rPr>
              <w:t>中文类专业能力过关与课堂教学改革“双轮驱动式”应用型人才培养与实践</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rPr>
            </w:pPr>
            <w:r>
              <w:rPr>
                <w:rFonts w:hint="eastAsia" w:ascii="仿宋" w:hAnsi="仿宋" w:eastAsia="仿宋" w:cs="仿宋"/>
                <w:sz w:val="21"/>
                <w:szCs w:val="21"/>
              </w:rPr>
              <w:t>潘雁飞</w:t>
            </w:r>
            <w:r>
              <w:rPr>
                <w:rFonts w:hint="eastAsia" w:ascii="仿宋" w:hAnsi="仿宋" w:eastAsia="仿宋" w:cs="仿宋"/>
                <w:sz w:val="21"/>
                <w:szCs w:val="21"/>
                <w:lang w:eastAsia="zh-CN"/>
              </w:rPr>
              <w:t>、</w:t>
            </w:r>
            <w:r>
              <w:rPr>
                <w:rFonts w:hint="eastAsia" w:ascii="仿宋" w:hAnsi="仿宋" w:eastAsia="仿宋" w:cs="仿宋"/>
                <w:sz w:val="21"/>
                <w:szCs w:val="21"/>
              </w:rPr>
              <w:t>谷显明</w:t>
            </w:r>
            <w:r>
              <w:rPr>
                <w:rFonts w:hint="eastAsia" w:ascii="仿宋" w:hAnsi="仿宋" w:eastAsia="仿宋" w:cs="仿宋"/>
                <w:sz w:val="21"/>
                <w:szCs w:val="21"/>
                <w:lang w:eastAsia="zh-CN"/>
              </w:rPr>
              <w:t>、</w:t>
            </w:r>
            <w:r>
              <w:rPr>
                <w:rFonts w:hint="eastAsia" w:ascii="仿宋" w:hAnsi="仿宋" w:eastAsia="仿宋" w:cs="仿宋"/>
                <w:sz w:val="21"/>
                <w:szCs w:val="21"/>
              </w:rPr>
              <w:t>张能泉</w:t>
            </w:r>
            <w:r>
              <w:rPr>
                <w:rFonts w:hint="eastAsia" w:ascii="仿宋" w:hAnsi="仿宋" w:eastAsia="仿宋" w:cs="仿宋"/>
                <w:sz w:val="21"/>
                <w:szCs w:val="21"/>
                <w:lang w:eastAsia="zh-CN"/>
              </w:rPr>
              <w:t>、</w:t>
            </w:r>
            <w:r>
              <w:rPr>
                <w:rFonts w:hint="eastAsia" w:ascii="仿宋" w:hAnsi="仿宋" w:eastAsia="仿宋" w:cs="仿宋"/>
                <w:sz w:val="21"/>
                <w:szCs w:val="21"/>
              </w:rPr>
              <w:t>周玉华</w:t>
            </w:r>
            <w:r>
              <w:rPr>
                <w:rFonts w:hint="eastAsia" w:ascii="仿宋" w:hAnsi="仿宋" w:eastAsia="仿宋" w:cs="仿宋"/>
                <w:sz w:val="21"/>
                <w:szCs w:val="21"/>
                <w:lang w:eastAsia="zh-CN"/>
              </w:rPr>
              <w:t>、</w:t>
            </w:r>
            <w:r>
              <w:rPr>
                <w:rFonts w:hint="eastAsia" w:ascii="仿宋" w:hAnsi="仿宋" w:eastAsia="仿宋" w:cs="仿宋"/>
                <w:sz w:val="21"/>
                <w:szCs w:val="21"/>
              </w:rPr>
              <w:t>肖献军</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普通本科教育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71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仿宋" w:hAnsi="仿宋" w:eastAsia="仿宋" w:cs="仿宋"/>
                <w:i w:val="0"/>
                <w:caps w:val="0"/>
                <w:color w:val="auto"/>
                <w:spacing w:val="0"/>
                <w:sz w:val="21"/>
                <w:szCs w:val="21"/>
              </w:rPr>
              <w:t>3</w:t>
            </w:r>
          </w:p>
        </w:tc>
        <w:tc>
          <w:tcPr>
            <w:tcW w:w="45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rPr>
            </w:pPr>
            <w:r>
              <w:rPr>
                <w:rFonts w:hint="eastAsia" w:ascii="仿宋" w:hAnsi="仿宋" w:eastAsia="仿宋" w:cs="仿宋"/>
                <w:sz w:val="21"/>
                <w:szCs w:val="21"/>
                <w:lang w:eastAsia="zh-CN"/>
              </w:rPr>
              <w:t>依托地方资源优势的普通高校旅游类应用型人才培养探索与实践</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rPr>
            </w:pPr>
            <w:r>
              <w:rPr>
                <w:rFonts w:hint="eastAsia" w:ascii="仿宋" w:hAnsi="仿宋" w:eastAsia="仿宋" w:cs="仿宋"/>
                <w:sz w:val="21"/>
                <w:szCs w:val="21"/>
                <w:lang w:eastAsia="zh-CN"/>
              </w:rPr>
              <w:t>黄渊基、李晓红、姚先林、刘幼平、曾荣</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普通本科教育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71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仿宋" w:hAnsi="仿宋" w:eastAsia="仿宋" w:cs="仿宋"/>
                <w:i w:val="0"/>
                <w:caps w:val="0"/>
                <w:color w:val="auto"/>
                <w:spacing w:val="0"/>
                <w:sz w:val="21"/>
                <w:szCs w:val="21"/>
              </w:rPr>
              <w:t>4</w:t>
            </w:r>
          </w:p>
        </w:tc>
        <w:tc>
          <w:tcPr>
            <w:tcW w:w="45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rPr>
            </w:pPr>
            <w:r>
              <w:rPr>
                <w:rFonts w:hint="eastAsia" w:ascii="仿宋" w:hAnsi="仿宋" w:eastAsia="仿宋" w:cs="仿宋"/>
                <w:sz w:val="21"/>
                <w:szCs w:val="21"/>
              </w:rPr>
              <w:t>地方优秀文化涵养大学生思想政治素质的协同教育教学模式探索与实践</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rPr>
            </w:pPr>
            <w:r>
              <w:rPr>
                <w:rFonts w:hint="eastAsia" w:ascii="仿宋" w:hAnsi="仿宋" w:eastAsia="仿宋" w:cs="仿宋"/>
                <w:sz w:val="21"/>
                <w:szCs w:val="21"/>
              </w:rPr>
              <w:t>廖雅琴、吴俊平、唐华山、陈仲庚</w:t>
            </w:r>
            <w:r>
              <w:rPr>
                <w:rFonts w:hint="eastAsia" w:ascii="仿宋" w:hAnsi="仿宋" w:eastAsia="仿宋" w:cs="仿宋"/>
                <w:sz w:val="21"/>
                <w:szCs w:val="21"/>
                <w:lang w:eastAsia="zh-CN"/>
              </w:rPr>
              <w:t>、</w:t>
            </w:r>
            <w:r>
              <w:rPr>
                <w:rFonts w:hint="eastAsia" w:ascii="仿宋" w:hAnsi="仿宋" w:eastAsia="仿宋" w:cs="仿宋"/>
                <w:sz w:val="21"/>
                <w:szCs w:val="21"/>
              </w:rPr>
              <w:t>吴海文</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普通本科教育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71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仿宋" w:hAnsi="仿宋" w:eastAsia="仿宋" w:cs="仿宋"/>
                <w:i w:val="0"/>
                <w:caps w:val="0"/>
                <w:color w:val="auto"/>
                <w:spacing w:val="0"/>
                <w:sz w:val="21"/>
                <w:szCs w:val="21"/>
              </w:rPr>
              <w:t>5</w:t>
            </w:r>
          </w:p>
        </w:tc>
        <w:tc>
          <w:tcPr>
            <w:tcW w:w="45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实施“一二三四五”工程，着力打造未来卓越英语教师</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欧华恩、刘堃、廖海燕、郭旭明、黄艳芳</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普通本科教育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71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仿宋" w:hAnsi="仿宋" w:eastAsia="仿宋" w:cs="仿宋"/>
                <w:i w:val="0"/>
                <w:caps w:val="0"/>
                <w:color w:val="auto"/>
                <w:spacing w:val="0"/>
                <w:sz w:val="21"/>
                <w:szCs w:val="21"/>
              </w:rPr>
              <w:t>6</w:t>
            </w:r>
          </w:p>
        </w:tc>
        <w:tc>
          <w:tcPr>
            <w:tcW w:w="45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rPr>
            </w:pPr>
            <w:r>
              <w:rPr>
                <w:rFonts w:hint="eastAsia" w:ascii="仿宋" w:hAnsi="仿宋" w:eastAsia="仿宋" w:cs="仿宋"/>
                <w:sz w:val="21"/>
                <w:szCs w:val="21"/>
                <w:lang w:val="en-US" w:eastAsia="zh-CN"/>
              </w:rPr>
              <w:t>地方本科院校传媒类专业“一高多能”应用型人才培养体系的探索与实践</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rPr>
            </w:pPr>
            <w:r>
              <w:rPr>
                <w:rFonts w:hint="eastAsia" w:ascii="仿宋" w:hAnsi="仿宋" w:eastAsia="仿宋" w:cs="仿宋"/>
                <w:sz w:val="21"/>
                <w:szCs w:val="21"/>
                <w:lang w:val="en-US" w:eastAsia="zh-CN"/>
              </w:rPr>
              <w:t>杨增和、龙运荣、蒋玮玮、朱喜基</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普通本科教育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71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仿宋" w:hAnsi="仿宋" w:eastAsia="仿宋" w:cs="仿宋"/>
                <w:i w:val="0"/>
                <w:caps w:val="0"/>
                <w:color w:val="auto"/>
                <w:spacing w:val="0"/>
                <w:sz w:val="21"/>
                <w:szCs w:val="21"/>
              </w:rPr>
              <w:t>7</w:t>
            </w:r>
          </w:p>
        </w:tc>
        <w:tc>
          <w:tcPr>
            <w:tcW w:w="45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rPr>
            </w:pPr>
            <w:r>
              <w:rPr>
                <w:rFonts w:hint="eastAsia" w:ascii="仿宋" w:hAnsi="仿宋" w:eastAsia="仿宋" w:cs="仿宋"/>
                <w:color w:val="auto"/>
                <w:sz w:val="21"/>
                <w:szCs w:val="21"/>
              </w:rPr>
              <w:t>地方本科院校“三融四促”创新创业人才培养模式的探索与实践</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rPr>
            </w:pPr>
            <w:r>
              <w:rPr>
                <w:rFonts w:hint="eastAsia" w:ascii="仿宋" w:hAnsi="仿宋" w:eastAsia="仿宋" w:cs="仿宋"/>
                <w:color w:val="auto"/>
                <w:sz w:val="21"/>
                <w:szCs w:val="21"/>
              </w:rPr>
              <w:t>胡清华</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程智开</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赵荣生</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王福民</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胡雨</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sz w:val="21"/>
                <w:szCs w:val="21"/>
                <w:lang w:val="en-US" w:eastAsia="zh-CN"/>
              </w:rPr>
              <w:t>普通本科教育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71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仿宋" w:hAnsi="仿宋" w:eastAsia="仿宋" w:cs="仿宋"/>
                <w:i w:val="0"/>
                <w:caps w:val="0"/>
                <w:color w:val="auto"/>
                <w:spacing w:val="0"/>
                <w:sz w:val="21"/>
                <w:szCs w:val="21"/>
              </w:rPr>
              <w:t>8</w:t>
            </w:r>
          </w:p>
        </w:tc>
        <w:tc>
          <w:tcPr>
            <w:tcW w:w="45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国际理念，协同育人——信息类专业“12345”应用型人才培养模式研究与实践</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尹向东、黄文、李文、黄丽韶、吕兰兰</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普通本科教育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71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仿宋" w:hAnsi="仿宋" w:eastAsia="仿宋" w:cs="仿宋"/>
                <w:i w:val="0"/>
                <w:caps w:val="0"/>
                <w:color w:val="auto"/>
                <w:spacing w:val="0"/>
                <w:sz w:val="21"/>
                <w:szCs w:val="21"/>
              </w:rPr>
              <w:t>9</w:t>
            </w:r>
          </w:p>
        </w:tc>
        <w:tc>
          <w:tcPr>
            <w:tcW w:w="45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rPr>
            </w:pPr>
            <w:r>
              <w:rPr>
                <w:rFonts w:hint="eastAsia" w:ascii="仿宋" w:hAnsi="仿宋" w:eastAsia="仿宋" w:cs="仿宋"/>
                <w:sz w:val="21"/>
                <w:szCs w:val="21"/>
                <w:lang w:eastAsia="zh-CN"/>
              </w:rPr>
              <w:t>地方本科院校土建类专业“六个协同”产教融合人才培养模式改革与实践</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rPr>
            </w:pPr>
            <w:r>
              <w:rPr>
                <w:rFonts w:hint="eastAsia" w:ascii="仿宋" w:hAnsi="仿宋" w:eastAsia="仿宋" w:cs="仿宋"/>
                <w:sz w:val="21"/>
                <w:szCs w:val="21"/>
              </w:rPr>
              <w:t>张俭民、周基、何永红、李丽民、阳令明</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普通本科教育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71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仿宋" w:hAnsi="仿宋" w:eastAsia="仿宋" w:cs="仿宋"/>
                <w:i w:val="0"/>
                <w:caps w:val="0"/>
                <w:color w:val="auto"/>
                <w:spacing w:val="0"/>
                <w:sz w:val="21"/>
                <w:szCs w:val="21"/>
              </w:rPr>
              <w:t>10</w:t>
            </w:r>
          </w:p>
        </w:tc>
        <w:tc>
          <w:tcPr>
            <w:tcW w:w="45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转型发展导向下地方院校生物技术专业课程与实践教学体系优化及教学模式创新</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廖阳</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闫荣玲</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余响华</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邵金华</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覃佐东</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普通本科教育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71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仿宋" w:hAnsi="仿宋" w:eastAsia="仿宋" w:cs="仿宋"/>
                <w:i w:val="0"/>
                <w:caps w:val="0"/>
                <w:color w:val="auto"/>
                <w:spacing w:val="0"/>
                <w:sz w:val="21"/>
                <w:szCs w:val="21"/>
              </w:rPr>
              <w:t>11</w:t>
            </w:r>
          </w:p>
        </w:tc>
        <w:tc>
          <w:tcPr>
            <w:tcW w:w="45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基于湖南高校对口支援平台的地方本科院校数学专业建设的改革与实践</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唐耀平</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林依勤</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吴清华</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李成福</w:t>
            </w:r>
            <w:r>
              <w:rPr>
                <w:rFonts w:hint="eastAsia" w:ascii="仿宋" w:hAnsi="仿宋" w:eastAsia="仿宋" w:cs="仿宋"/>
                <w:color w:val="auto"/>
                <w:sz w:val="21"/>
                <w:szCs w:val="21"/>
                <w:lang w:eastAsia="zh-CN"/>
              </w:rPr>
              <w:t>、刘红良</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对口支援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71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仿宋" w:hAnsi="仿宋" w:eastAsia="仿宋" w:cs="仿宋"/>
                <w:i w:val="0"/>
                <w:caps w:val="0"/>
                <w:color w:val="auto"/>
                <w:spacing w:val="0"/>
                <w:sz w:val="21"/>
                <w:szCs w:val="21"/>
              </w:rPr>
              <w:t>12</w:t>
            </w:r>
          </w:p>
        </w:tc>
        <w:tc>
          <w:tcPr>
            <w:tcW w:w="45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乡村学校留守儿童心理关爱师资培训“浸泡+体验”式课程体系建构与实践</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林静、汪晓艳、彭阳、</w:t>
            </w:r>
            <w:r>
              <w:rPr>
                <w:rFonts w:hint="eastAsia" w:ascii="仿宋" w:hAnsi="仿宋" w:eastAsia="仿宋" w:cs="仿宋"/>
                <w:color w:val="auto"/>
                <w:sz w:val="21"/>
                <w:szCs w:val="21"/>
                <w:lang w:eastAsia="zh-CN"/>
              </w:rPr>
              <w:t>邱小艳</w:t>
            </w:r>
            <w:r>
              <w:rPr>
                <w:rFonts w:hint="eastAsia" w:ascii="仿宋" w:hAnsi="仿宋" w:eastAsia="仿宋" w:cs="仿宋"/>
                <w:color w:val="auto"/>
                <w:sz w:val="21"/>
                <w:szCs w:val="21"/>
              </w:rPr>
              <w:t>、徐</w:t>
            </w:r>
            <w:r>
              <w:rPr>
                <w:rFonts w:hint="eastAsia" w:ascii="仿宋" w:hAnsi="仿宋" w:eastAsia="仿宋" w:cs="仿宋"/>
                <w:color w:val="auto"/>
                <w:sz w:val="21"/>
                <w:szCs w:val="21"/>
                <w:lang w:eastAsia="zh-CN"/>
              </w:rPr>
              <w:t>纯</w:t>
            </w:r>
            <w:r>
              <w:rPr>
                <w:rFonts w:hint="eastAsia" w:ascii="仿宋" w:hAnsi="仿宋" w:eastAsia="仿宋" w:cs="仿宋"/>
                <w:color w:val="auto"/>
                <w:sz w:val="21"/>
                <w:szCs w:val="21"/>
              </w:rPr>
              <w:t>先</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继续教育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71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rPr>
            </w:pPr>
            <w:r>
              <w:rPr>
                <w:rFonts w:hint="eastAsia" w:ascii="仿宋" w:hAnsi="仿宋" w:eastAsia="仿宋" w:cs="仿宋"/>
                <w:i w:val="0"/>
                <w:caps w:val="0"/>
                <w:color w:val="auto"/>
                <w:spacing w:val="0"/>
                <w:sz w:val="21"/>
                <w:szCs w:val="21"/>
              </w:rPr>
              <w:t>13</w:t>
            </w:r>
          </w:p>
        </w:tc>
        <w:tc>
          <w:tcPr>
            <w:tcW w:w="45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rPr>
            </w:pPr>
            <w:r>
              <w:rPr>
                <w:rFonts w:hint="eastAsia" w:ascii="仿宋" w:hAnsi="仿宋" w:eastAsia="仿宋" w:cs="仿宋"/>
                <w:sz w:val="21"/>
                <w:szCs w:val="21"/>
              </w:rPr>
              <w:t>教育综合改革背景下体育教师继续教育的研究与实践</w:t>
            </w:r>
          </w:p>
        </w:tc>
        <w:tc>
          <w:tcPr>
            <w:tcW w:w="229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auto"/>
              </w:rPr>
            </w:pPr>
            <w:r>
              <w:rPr>
                <w:rFonts w:hint="eastAsia" w:ascii="仿宋" w:hAnsi="仿宋" w:eastAsia="仿宋" w:cs="仿宋"/>
                <w:sz w:val="21"/>
                <w:szCs w:val="21"/>
              </w:rPr>
              <w:t>刘根发</w:t>
            </w:r>
            <w:r>
              <w:rPr>
                <w:rFonts w:hint="eastAsia" w:ascii="仿宋" w:hAnsi="仿宋" w:eastAsia="仿宋" w:cs="仿宋"/>
                <w:sz w:val="21"/>
                <w:szCs w:val="21"/>
                <w:lang w:eastAsia="zh-CN"/>
              </w:rPr>
              <w:t>、</w:t>
            </w:r>
            <w:r>
              <w:rPr>
                <w:rFonts w:hint="eastAsia" w:ascii="仿宋" w:hAnsi="仿宋" w:eastAsia="仿宋" w:cs="仿宋"/>
                <w:sz w:val="21"/>
                <w:szCs w:val="21"/>
              </w:rPr>
              <w:t>高源</w:t>
            </w:r>
            <w:r>
              <w:rPr>
                <w:rFonts w:hint="eastAsia" w:ascii="仿宋" w:hAnsi="仿宋" w:eastAsia="仿宋" w:cs="仿宋"/>
                <w:sz w:val="21"/>
                <w:szCs w:val="21"/>
                <w:lang w:eastAsia="zh-CN"/>
              </w:rPr>
              <w:t>、</w:t>
            </w:r>
            <w:r>
              <w:rPr>
                <w:rFonts w:hint="eastAsia" w:ascii="仿宋" w:hAnsi="仿宋" w:eastAsia="仿宋" w:cs="仿宋"/>
                <w:sz w:val="21"/>
                <w:szCs w:val="21"/>
              </w:rPr>
              <w:t>何智强</w:t>
            </w:r>
            <w:r>
              <w:rPr>
                <w:rFonts w:hint="eastAsia" w:ascii="仿宋" w:hAnsi="仿宋" w:eastAsia="仿宋" w:cs="仿宋"/>
                <w:sz w:val="21"/>
                <w:szCs w:val="21"/>
                <w:lang w:eastAsia="zh-CN"/>
              </w:rPr>
              <w:t>、</w:t>
            </w:r>
            <w:r>
              <w:rPr>
                <w:rFonts w:hint="eastAsia" w:ascii="仿宋" w:hAnsi="仿宋" w:eastAsia="仿宋" w:cs="仿宋"/>
                <w:sz w:val="21"/>
                <w:szCs w:val="21"/>
              </w:rPr>
              <w:t>谢欢</w:t>
            </w:r>
            <w:r>
              <w:rPr>
                <w:rFonts w:hint="eastAsia" w:ascii="仿宋" w:hAnsi="仿宋" w:eastAsia="仿宋" w:cs="仿宋"/>
                <w:sz w:val="21"/>
                <w:szCs w:val="21"/>
                <w:lang w:eastAsia="zh-CN"/>
              </w:rPr>
              <w:t>、</w:t>
            </w:r>
            <w:r>
              <w:rPr>
                <w:rFonts w:hint="eastAsia" w:ascii="仿宋" w:hAnsi="仿宋" w:eastAsia="仿宋" w:cs="仿宋"/>
                <w:sz w:val="21"/>
                <w:szCs w:val="21"/>
              </w:rPr>
              <w:t>石峰</w:t>
            </w:r>
          </w:p>
        </w:tc>
        <w:tc>
          <w:tcPr>
            <w:tcW w:w="15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1"/>
                <w:szCs w:val="21"/>
              </w:rPr>
            </w:pPr>
            <w:r>
              <w:rPr>
                <w:rFonts w:hint="eastAsia" w:ascii="仿宋" w:hAnsi="仿宋" w:eastAsia="仿宋" w:cs="仿宋"/>
                <w:color w:val="auto"/>
                <w:sz w:val="21"/>
                <w:szCs w:val="21"/>
                <w:lang w:eastAsia="zh-CN"/>
              </w:rPr>
              <w:t>继续教育</w:t>
            </w:r>
          </w:p>
        </w:tc>
      </w:tr>
    </w:tbl>
    <w:p>
      <w:pPr>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unSim">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8D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cp:lastModifiedBy>Jenny1417057240</cp:lastModifiedBy>
  <dcterms:modified xsi:type="dcterms:W3CDTF">2019-03-15T09:14:54Z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